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0d9" w14:textId="a136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Гражданский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Гражданский кодекс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Гражданский кодекс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 ст. 56, 57, 66; N 15, ст. 139; N 19-20, ст. 146; 2004 г., N 6, ст. 42; N 10, ст. 56; N 16, ст. 91; N 23, ст. 142; 2005 г., N 10, ст. 31; N 14, ст. 58; N 23, ст. 104; 2006 г., N 1, ст. 4; N 3, ст. 22; N 4, ст. 24; N 8, ст. 45; N 10, ст. 52; N 11, ст. 55; N 13, ст. 85; 2007 г., N 2, ст. 18; N 3, ст. 20, 21; N 4, ст. 28; N 16, ст. 131; N 18, ст. 143; N 20, ст. 153)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Имущество, находящееся в государственной собственности, отчуждается в частную собственность в случаях, на условиях и в порядке, предусмотренных законодательными актами о приватизации, за исключением передачи объектов государственной собственности в оплату уставных капиталов юридических лиц и обмена объектов государственной собственности на равноценное имущество, находящееся в частной собственности.".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