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a2c2" w14:textId="0a1a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2008 года N 1065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2008 года № 1065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 о взаимодействии министерств обороны </w:t>
      </w:r>
      <w:r>
        <w:br/>
      </w:r>
      <w:r>
        <w:rPr>
          <w:rFonts w:ascii="Times New Roman"/>
          <w:b/>
          <w:i w:val="false"/>
          <w:color w:val="000000"/>
        </w:rPr>
        <w:t xml:space="preserve">
государств-участников Содружества Независимых </w:t>
      </w:r>
      <w:r>
        <w:br/>
      </w:r>
      <w:r>
        <w:rPr>
          <w:rFonts w:ascii="Times New Roman"/>
          <w:b/>
          <w:i w:val="false"/>
          <w:color w:val="000000"/>
        </w:rPr>
        <w:t xml:space="preserve">
Государств в области контроля радиационной, химической и </w:t>
      </w:r>
      <w:r>
        <w:br/>
      </w:r>
      <w:r>
        <w:rPr>
          <w:rFonts w:ascii="Times New Roman"/>
          <w:b/>
          <w:i w:val="false"/>
          <w:color w:val="000000"/>
        </w:rPr>
        <w:t xml:space="preserve">
биологической обстановки </w:t>
      </w:r>
    </w:p>
    <w:bookmarkEnd w:id="1"/>
    <w:p>
      <w:pPr>
        <w:spacing w:after="0"/>
        <w:ind w:left="0"/>
        <w:jc w:val="both"/>
      </w:pPr>
      <w:r>
        <w:rPr>
          <w:rFonts w:ascii="Times New Roman"/>
          <w:b w:val="false"/>
          <w:i w:val="false"/>
          <w:color w:val="000000"/>
          <w:sz w:val="28"/>
        </w:rPr>
        <w:t xml:space="preserve">      Правительства государств-участников Содружества Независимых Государств, именуемые в дальнейшем Сторонами, </w:t>
      </w:r>
      <w:r>
        <w:br/>
      </w:r>
      <w:r>
        <w:rPr>
          <w:rFonts w:ascii="Times New Roman"/>
          <w:b w:val="false"/>
          <w:i w:val="false"/>
          <w:color w:val="000000"/>
          <w:sz w:val="28"/>
        </w:rPr>
        <w:t xml:space="preserve">
      исходя из необходимости объединения усилий по контролю за радиационной, химической и биологической обстановкой на объектах министерств обороны государств Сторон, </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w:t>
      </w:r>
    </w:p>
    <w:bookmarkEnd w:id="2"/>
    <w:bookmarkStart w:name="z6" w:id="3"/>
    <w:p>
      <w:pPr>
        <w:spacing w:after="0"/>
        <w:ind w:left="0"/>
        <w:jc w:val="both"/>
      </w:pP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w:t>
      </w:r>
      <w:r>
        <w:rPr>
          <w:rFonts w:ascii="Times New Roman"/>
          <w:b w:val="false"/>
          <w:i w:val="false"/>
          <w:color w:val="000000"/>
          <w:sz w:val="28"/>
        </w:rPr>
        <w:t xml:space="preserve">
      «радиационно, химически и биологически опасный объект» - объект, на котором хранят, перерабатывают, используют или транспортируют радиоактивные вещества, токсичные химикаты или биологические средства, при аварии на котором или при разрушении которого может произойти гибель или радиоактивное, или химическое, или биологическое заражение людей, сельскохозяйственных животных и растений, а также окружающей природной среды; </w:t>
      </w:r>
      <w:r>
        <w:br/>
      </w:r>
      <w:r>
        <w:rPr>
          <w:rFonts w:ascii="Times New Roman"/>
          <w:b w:val="false"/>
          <w:i w:val="false"/>
          <w:color w:val="000000"/>
          <w:sz w:val="28"/>
        </w:rPr>
        <w:t>
</w:t>
      </w:r>
      <w:r>
        <w:rPr>
          <w:rFonts w:ascii="Times New Roman"/>
          <w:b w:val="false"/>
          <w:i w:val="false"/>
          <w:color w:val="000000"/>
          <w:sz w:val="28"/>
        </w:rPr>
        <w:t xml:space="preserve">
      «объект министерства обороны государства Стороны» - воинская часть или организация вооруженных сил одной из Сторон. </w:t>
      </w:r>
    </w:p>
    <w:bookmarkEnd w:id="3"/>
    <w:bookmarkStart w:name="z9"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Стороны взаимодействуют в области контроля радиационной, химической и биологической обстановки на объектах министерств обороны государств Сторон путем предоставления информации о ее изменении и угрозе распространения радиоактивных веществ, токсичных химикатов и биологических средств на территориях государств Сторон. </w:t>
      </w:r>
      <w:r>
        <w:br/>
      </w:r>
      <w:r>
        <w:rPr>
          <w:rFonts w:ascii="Times New Roman"/>
          <w:b w:val="false"/>
          <w:i w:val="false"/>
          <w:color w:val="000000"/>
          <w:sz w:val="28"/>
        </w:rPr>
        <w:t xml:space="preserve">
      С этой целью Стороны создают Объединенную систему контроля и оценки радиационной, химической и биологической обстановки министерств обороны государств Сторон (далее - Объединенная система). </w:t>
      </w:r>
      <w:r>
        <w:br/>
      </w:r>
      <w:r>
        <w:rPr>
          <w:rFonts w:ascii="Times New Roman"/>
          <w:b w:val="false"/>
          <w:i w:val="false"/>
          <w:color w:val="000000"/>
          <w:sz w:val="28"/>
        </w:rPr>
        <w:t xml:space="preserve">
      Принципы построения Объединенной системы и выполнения ею задач определяются Положением об Объединенной системе контроля и оценки радиационной, химической и биологической обстановки министерств обороны государств-участников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(далее - Положение об Объединенной системе), предусмотренным приложением к настоящему Соглашению, которое является его неотъемлемой частью. </w:t>
      </w:r>
      <w:r>
        <w:br/>
      </w:r>
      <w:r>
        <w:rPr>
          <w:rFonts w:ascii="Times New Roman"/>
          <w:b w:val="false"/>
          <w:i w:val="false"/>
          <w:color w:val="000000"/>
          <w:sz w:val="28"/>
        </w:rPr>
        <w:t xml:space="preserve">
      Практическая реализация настоящего Соглашения осуществляется министерствами обороны государств Сторон. </w:t>
      </w:r>
    </w:p>
    <w:bookmarkStart w:name="z10"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Объединенная система создается для решения следующих задач: </w:t>
      </w:r>
      <w:r>
        <w:br/>
      </w:r>
      <w:r>
        <w:rPr>
          <w:rFonts w:ascii="Times New Roman"/>
          <w:b w:val="false"/>
          <w:i w:val="false"/>
          <w:color w:val="000000"/>
          <w:sz w:val="28"/>
        </w:rPr>
        <w:t xml:space="preserve">
      обеспечение постоянного совместного контроля за состоянием радиационной, химической и биологической обстановки на объектах министерств обороны государств Сторон; </w:t>
      </w:r>
      <w:r>
        <w:br/>
      </w:r>
      <w:r>
        <w:rPr>
          <w:rFonts w:ascii="Times New Roman"/>
          <w:b w:val="false"/>
          <w:i w:val="false"/>
          <w:color w:val="000000"/>
          <w:sz w:val="28"/>
        </w:rPr>
        <w:t xml:space="preserve">
      предоставление и получение информации об изменении радиационной, химической и биологической обстановки на территориях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xml:space="preserve">
      координация действий при планировании, организации и проведении совместных мероприятий по оповещению войск (населения)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p>
    <w:bookmarkStart w:name="z11"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В целях согласования усилий по созданию и совершенствованию Объединенной системы при Совете министров обороны государств-участников Содружества Независимых Государств образуется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w:t>
      </w:r>
      <w:r>
        <w:br/>
      </w:r>
      <w:r>
        <w:rPr>
          <w:rFonts w:ascii="Times New Roman"/>
          <w:b w:val="false"/>
          <w:i w:val="false"/>
          <w:color w:val="000000"/>
          <w:sz w:val="28"/>
        </w:rPr>
        <w:t xml:space="preserve">
      В состав Координационного комитета в качестве его членов помимо начальников войск радиационной, химической и биологической защиты (химической защиты) государств Сторон по согласованию Сторон могут включаться и другие должностные лица государств Сторон. </w:t>
      </w:r>
      <w:r>
        <w:br/>
      </w:r>
      <w:r>
        <w:rPr>
          <w:rFonts w:ascii="Times New Roman"/>
          <w:b w:val="false"/>
          <w:i w:val="false"/>
          <w:color w:val="000000"/>
          <w:sz w:val="28"/>
        </w:rPr>
        <w:t xml:space="preserve">
      Координационный Комитет действует в соответствии с Положением об Объединенной системе. </w:t>
      </w:r>
    </w:p>
    <w:bookmarkStart w:name="z12"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Организация взаимодействия в рамках настоящего Соглашения, в том числе порядок предоставлении Сторонами информации об изменении радиационной, химической и биологической обстановки на объектах министерств обороны государств Сторон и угрозе распространения радиоактивных веществ, токсичных химикатов и биологических средств на территории государств Сторон, определяется Планом взаимодействия, разрабатываемым Координационным Комитетом и утверждаемым министрами обороны государств Сторон. </w:t>
      </w:r>
      <w:r>
        <w:br/>
      </w:r>
      <w:r>
        <w:rPr>
          <w:rFonts w:ascii="Times New Roman"/>
          <w:b w:val="false"/>
          <w:i w:val="false"/>
          <w:color w:val="000000"/>
          <w:sz w:val="28"/>
        </w:rPr>
        <w:t xml:space="preserve">
      Непосредственное управление силами и средствами контроля и оценки радиационной, химической и биологической обстановки министерства обороны государства одной из Сторон осуществляется начальником войск радиационной, химической и биологической защиты (химической защиты) государства этой Стороны с учетом Плана взаимодействия. </w:t>
      </w:r>
      <w:r>
        <w:br/>
      </w:r>
      <w:r>
        <w:rPr>
          <w:rFonts w:ascii="Times New Roman"/>
          <w:b w:val="false"/>
          <w:i w:val="false"/>
          <w:color w:val="000000"/>
          <w:sz w:val="28"/>
        </w:rPr>
        <w:t xml:space="preserve">
      Координация действий сил и средств контроля и оценки радиационной, химической и биологической обстановки министерств обороны осуществляется Координационным Комитетом. </w:t>
      </w:r>
    </w:p>
    <w:bookmarkStart w:name="z13"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Информация об изменении радиационной, химической и биологической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Сторон, передаваемая в рамках настоящего Соглашения, используется исключительно для целей настоящего Соглашения. Информация, полученная в ходе реализации настоящего Соглашения одной из Сторон, не может использоваться ею в ущерб других Сторон. </w:t>
      </w:r>
      <w:r>
        <w:br/>
      </w:r>
      <w:r>
        <w:rPr>
          <w:rFonts w:ascii="Times New Roman"/>
          <w:b w:val="false"/>
          <w:i w:val="false"/>
          <w:color w:val="000000"/>
          <w:sz w:val="28"/>
        </w:rPr>
        <w:t xml:space="preserve">
      Порядок обращения с межгосударственными секретами и их защита осуществляется в соответствии с Соглашением о взаимном обеспечении сохранности межгосударственных секретов от 22 января 1993 года или двусторонними соглашениями о взаимной защите (охране) секретной информации (государственных секретов). </w:t>
      </w:r>
      <w:r>
        <w:br/>
      </w:r>
      <w:r>
        <w:rPr>
          <w:rFonts w:ascii="Times New Roman"/>
          <w:b w:val="false"/>
          <w:i w:val="false"/>
          <w:color w:val="000000"/>
          <w:sz w:val="28"/>
        </w:rPr>
        <w:t xml:space="preserve">
      Передача конфиденциальной информации и ее защита осуществляются в соответствии с законодательствами Сторон. </w:t>
      </w:r>
      <w:r>
        <w:br/>
      </w:r>
      <w:r>
        <w:rPr>
          <w:rFonts w:ascii="Times New Roman"/>
          <w:b w:val="false"/>
          <w:i w:val="false"/>
          <w:color w:val="000000"/>
          <w:sz w:val="28"/>
        </w:rPr>
        <w:t xml:space="preserve">
      Стороны имеют право принимать дополнительные меры по защите информации. </w:t>
      </w:r>
    </w:p>
    <w:bookmarkStart w:name="z14"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Обучение военных специалистов в области контроля и оценки радиационной, химической и биологической обстановки осуществляется на основании двухсторонних соглашений между Сторонами. </w:t>
      </w:r>
    </w:p>
    <w:bookmarkStart w:name="z15"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Настоящее Соглашение не затрагивает прав и обязанностей Сторон, вытекающих из других международных договоров. </w:t>
      </w:r>
    </w:p>
    <w:bookmarkStart w:name="z16"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с даты получения депозитарием соответствующих документов. </w:t>
      </w:r>
    </w:p>
    <w:bookmarkStart w:name="z17"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вступающими в силу в порядке, предусмотренном для вступления в силу настоящего Соглашения. </w:t>
      </w:r>
      <w:r>
        <w:br/>
      </w:r>
      <w:r>
        <w:rPr>
          <w:rFonts w:ascii="Times New Roman"/>
          <w:b w:val="false"/>
          <w:i w:val="false"/>
          <w:color w:val="000000"/>
          <w:sz w:val="28"/>
        </w:rPr>
        <w:t xml:space="preserve">
      Разногласия относительно толкования и применения положений настоящего Соглашения разрешаются путем переговоров и консультаций между Сторонами. </w:t>
      </w:r>
    </w:p>
    <w:bookmarkStart w:name="z18"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r>
        <w:br/>
      </w: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шесть месяцев до даты выхода. </w:t>
      </w:r>
    </w:p>
    <w:bookmarkStart w:name="z19"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Настоящее Соглашение открыто для присоединения к нему других государств-участников Содружества Независимых Государств, разделяющих ее цели и принципы и готовых принять на себя обязательства, вытекающие из настоящего Соглашения, и считается для них вступившим в силу с даты получения депозитарием уведомления о присоединении. </w:t>
      </w:r>
    </w:p>
    <w:p>
      <w:pPr>
        <w:spacing w:after="0"/>
        <w:ind w:left="0"/>
        <w:jc w:val="both"/>
      </w:pPr>
      <w:r>
        <w:rPr>
          <w:rFonts w:ascii="Times New Roman"/>
          <w:b w:val="false"/>
          <w:i w:val="false"/>
          <w:color w:val="000000"/>
          <w:sz w:val="28"/>
        </w:rPr>
        <w:t xml:space="preserve">      Совершено в городе ________ «____» ______ 2008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Грузии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Молдова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Республики Казахстан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Кыргызской Республики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Украины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взаимодействии министерств </w:t>
      </w:r>
      <w:r>
        <w:br/>
      </w:r>
      <w:r>
        <w:rPr>
          <w:rFonts w:ascii="Times New Roman"/>
          <w:b w:val="false"/>
          <w:i w:val="false"/>
          <w:color w:val="000000"/>
          <w:sz w:val="28"/>
        </w:rPr>
        <w:t xml:space="preserve">
обороны государств-участников Содружества </w:t>
      </w:r>
      <w:r>
        <w:br/>
      </w:r>
      <w:r>
        <w:rPr>
          <w:rFonts w:ascii="Times New Roman"/>
          <w:b w:val="false"/>
          <w:i w:val="false"/>
          <w:color w:val="000000"/>
          <w:sz w:val="28"/>
        </w:rPr>
        <w:t xml:space="preserve">
Независимых Государств в области контроля </w:t>
      </w:r>
      <w:r>
        <w:br/>
      </w:r>
      <w:r>
        <w:rPr>
          <w:rFonts w:ascii="Times New Roman"/>
          <w:b w:val="false"/>
          <w:i w:val="false"/>
          <w:color w:val="000000"/>
          <w:sz w:val="28"/>
        </w:rPr>
        <w:t xml:space="preserve">
радиационной, химической и биологической  </w:t>
      </w:r>
      <w:r>
        <w:br/>
      </w:r>
      <w:r>
        <w:rPr>
          <w:rFonts w:ascii="Times New Roman"/>
          <w:b w:val="false"/>
          <w:i w:val="false"/>
          <w:color w:val="000000"/>
          <w:sz w:val="28"/>
        </w:rPr>
        <w:t xml:space="preserve">
обстановки от «___» ______ 200__ года  </w:t>
      </w:r>
    </w:p>
    <w:bookmarkStart w:name="z20" w:id="15"/>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Объединенной системе контроля и оценки радиационной, </w:t>
      </w:r>
      <w:r>
        <w:br/>
      </w:r>
      <w:r>
        <w:rPr>
          <w:rFonts w:ascii="Times New Roman"/>
          <w:b/>
          <w:i w:val="false"/>
          <w:color w:val="000000"/>
        </w:rPr>
        <w:t xml:space="preserve">
химической и биологической обстановки министерств обороны государств-участников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w:t>
      </w:r>
    </w:p>
    <w:bookmarkEnd w:id="15"/>
    <w:bookmarkStart w:name="z21" w:id="16"/>
    <w:p>
      <w:pPr>
        <w:spacing w:after="0"/>
        <w:ind w:left="0"/>
        <w:jc w:val="both"/>
      </w:pPr>
      <w:r>
        <w:rPr>
          <w:rFonts w:ascii="Times New Roman"/>
          <w:b w:val="false"/>
          <w:i w:val="false"/>
          <w:color w:val="000000"/>
          <w:sz w:val="28"/>
        </w:rPr>
        <w:t xml:space="preserve">
      1. Объединенная система контроля и оценки радиационной, химической и биологической обстановки министерств обороны государств-участников Соглашения о взаимодействии министерств обороны государств-участников Содружества Независимых Государств в области контроля радиационной, химической и биологической обстановки (далее соответственно - Объединенная система, Соглашение) создается для обеспечения постоянного контроля за состоянием радиационной, химической и биологической обстановки на радиационно, химически и биологически опасных объектах министерств обороны государств-участников Соглашения, а также для оперативного представления правительствам государств-участников Соглашения (далее — Стороны) и их органам военного управления информации об изменении указанной обстановки на территории государства каждой из Сторон и угрозе распространения радиоактивных веществ, токсичных химикатов и биологических средств на территории государств других Сторон. </w:t>
      </w:r>
      <w:r>
        <w:br/>
      </w:r>
      <w:r>
        <w:rPr>
          <w:rFonts w:ascii="Times New Roman"/>
          <w:b w:val="false"/>
          <w:i w:val="false"/>
          <w:color w:val="000000"/>
          <w:sz w:val="28"/>
        </w:rPr>
        <w:t>
</w:t>
      </w:r>
      <w:r>
        <w:rPr>
          <w:rFonts w:ascii="Times New Roman"/>
          <w:b w:val="false"/>
          <w:i w:val="false"/>
          <w:color w:val="000000"/>
          <w:sz w:val="28"/>
        </w:rPr>
        <w:t xml:space="preserve">
      2. Объединенная система включает силы и средства контроля и оценки радиационной, химической и биологической обстановки министерств обороны государств Сторон (далее - силы и средства министерств обороны государств Сторон) для совместного решения задач в их интересах. </w:t>
      </w:r>
      <w:r>
        <w:br/>
      </w:r>
      <w:r>
        <w:rPr>
          <w:rFonts w:ascii="Times New Roman"/>
          <w:b w:val="false"/>
          <w:i w:val="false"/>
          <w:color w:val="000000"/>
          <w:sz w:val="28"/>
        </w:rPr>
        <w:t xml:space="preserve">
      Силы и средства Объединенной системы действуют по национальному принципу и самостоятельно решают задачи по контролю и оценке радиационной, химической и биологической обстановки на объектах министерства обороны государства каждой из Сторон. </w:t>
      </w:r>
      <w:r>
        <w:br/>
      </w:r>
      <w:r>
        <w:rPr>
          <w:rFonts w:ascii="Times New Roman"/>
          <w:b w:val="false"/>
          <w:i w:val="false"/>
          <w:color w:val="000000"/>
          <w:sz w:val="28"/>
        </w:rPr>
        <w:t xml:space="preserve">
      Объединенная система состоит из национальных систем контроля и оценки радиационной, химической и биологической обстановки министерств обороны государств Стороны, информационно замыкающихся на Оперативно-координационный центр единой системы выявления и оценки масштабов и последствий применения оружия массового поражения, аварий (разрушений) на радиационно, химически и биологически опасных объектах Министерства обороны Российской Федерации. Указанные национальные системы, в свою очередь, включают в себя подсистемы (звенья) объединений, соединений видов и родов войск, а также соответствующих воинских частей вооруженных сил государств Сторон. Подсистемы имеют в своем составе оперативные, оперативно-тактические и тактические звенья контроля и оценки радиационной, химической и биологической обстановки. Звенья состоят из пунктов управления, сил и средств засечки ядерных взрывов, радиационной, химической разведки и постов радиационного, химического и биологического наблюдения. </w:t>
      </w:r>
      <w:r>
        <w:br/>
      </w:r>
      <w:r>
        <w:rPr>
          <w:rFonts w:ascii="Times New Roman"/>
          <w:b w:val="false"/>
          <w:i w:val="false"/>
          <w:color w:val="000000"/>
          <w:sz w:val="28"/>
        </w:rPr>
        <w:t xml:space="preserve">
      Каждая из Сторон самостоятельно обеспечивает функционирование своей национальной системы контроля и оценки радиационной, химической и биологической обстановки. </w:t>
      </w:r>
      <w:r>
        <w:br/>
      </w:r>
      <w:r>
        <w:rPr>
          <w:rFonts w:ascii="Times New Roman"/>
          <w:b w:val="false"/>
          <w:i w:val="false"/>
          <w:color w:val="000000"/>
          <w:sz w:val="28"/>
        </w:rPr>
        <w:t xml:space="preserve">
      В повседневном режиме функционирования Объединенной системы круглосуточное выполнение задач по контролю и оценке радиационной, химической и биологической обстановки возлагается на дежурные смены подсистем (звеньев) контроля и оценки радиационной, химической и биологической обстановки. </w:t>
      </w:r>
      <w:r>
        <w:br/>
      </w:r>
      <w:r>
        <w:rPr>
          <w:rFonts w:ascii="Times New Roman"/>
          <w:b w:val="false"/>
          <w:i w:val="false"/>
          <w:color w:val="000000"/>
          <w:sz w:val="28"/>
        </w:rPr>
        <w:t xml:space="preserve">
      Управление дежурными силами и средствами Объединенной системы осуществляется с пунктов управления начальников войск радиационной, химической и биологической защиты (химической защиты) государств Сторон. </w:t>
      </w:r>
      <w:r>
        <w:br/>
      </w:r>
      <w:r>
        <w:rPr>
          <w:rFonts w:ascii="Times New Roman"/>
          <w:b w:val="false"/>
          <w:i w:val="false"/>
          <w:color w:val="000000"/>
          <w:sz w:val="28"/>
        </w:rPr>
        <w:t xml:space="preserve">
      В случае возникновения на радиационно, химически или биологически опасном объекте министерства обороны государства Стороны чрезвычайной ситуации, которая может оказать влияние на изменение радиационной, химической и биологической обстановки на территориях государств Сторон, решение задач по контролю и оценке радиационной, химической и биологической обстановки осуществляется во взаимодействии с силами и средствами министерства обороны государства этой Стороны на основании утвержденного Плана взаимодействия. </w:t>
      </w:r>
      <w:r>
        <w:br/>
      </w:r>
      <w:r>
        <w:rPr>
          <w:rFonts w:ascii="Times New Roman"/>
          <w:b w:val="false"/>
          <w:i w:val="false"/>
          <w:color w:val="000000"/>
          <w:sz w:val="28"/>
        </w:rPr>
        <w:t xml:space="preserve">
      Управление совместными действиями сил и средств министерств обороны государств Сторон осуществляется с пункта управления начальника войск радиационной, химической и биологической защиты (химической защиты), государства Сторон, на территории которого выполняются указанные мероприятия. </w:t>
      </w:r>
      <w:r>
        <w:br/>
      </w:r>
      <w:r>
        <w:rPr>
          <w:rFonts w:ascii="Times New Roman"/>
          <w:b w:val="false"/>
          <w:i w:val="false"/>
          <w:color w:val="000000"/>
          <w:sz w:val="28"/>
        </w:rPr>
        <w:t>
</w:t>
      </w:r>
      <w:r>
        <w:rPr>
          <w:rFonts w:ascii="Times New Roman"/>
          <w:b w:val="false"/>
          <w:i w:val="false"/>
          <w:color w:val="000000"/>
          <w:sz w:val="28"/>
        </w:rPr>
        <w:t xml:space="preserve">
      3. Координацию совместных действий сил и средств министерств обороны государств Сторон осуществляет Координационный комитет начальников войск радиационной, химической и биологической защиты (химической защиты) государств Сторон (далее - Координационный Комитет). Положение о Координационном комитете утверждается Советом министров обороны государств-участников Содружества Независимых Государств. </w:t>
      </w:r>
      <w:r>
        <w:br/>
      </w:r>
      <w:r>
        <w:rPr>
          <w:rFonts w:ascii="Times New Roman"/>
          <w:b w:val="false"/>
          <w:i w:val="false"/>
          <w:color w:val="000000"/>
          <w:sz w:val="28"/>
        </w:rPr>
        <w:t xml:space="preserve">
      Заседания Координационного комитета проводятся по мере необходимости, как правило, один раз в год, поочередно на территории одного из государств Сторон, определяемого по предварительному согласованию между ними. </w:t>
      </w:r>
      <w:r>
        <w:br/>
      </w:r>
      <w:r>
        <w:rPr>
          <w:rFonts w:ascii="Times New Roman"/>
          <w:b w:val="false"/>
          <w:i w:val="false"/>
          <w:color w:val="000000"/>
          <w:sz w:val="28"/>
        </w:rPr>
        <w:t xml:space="preserve">
      Расходы по проведению заседаний Координационного комитета несет государство Стороны, на территории которого проводится заседание. Расходы по командированию членов Координационного комитета несет направляющее государство. </w:t>
      </w:r>
      <w:r>
        <w:br/>
      </w:r>
      <w:r>
        <w:rPr>
          <w:rFonts w:ascii="Times New Roman"/>
          <w:b w:val="false"/>
          <w:i w:val="false"/>
          <w:color w:val="000000"/>
          <w:sz w:val="28"/>
        </w:rPr>
        <w:t>
</w:t>
      </w:r>
      <w:r>
        <w:rPr>
          <w:rFonts w:ascii="Times New Roman"/>
          <w:b w:val="false"/>
          <w:i w:val="false"/>
          <w:color w:val="000000"/>
          <w:sz w:val="28"/>
        </w:rPr>
        <w:t xml:space="preserve">
      4. Председательство в Координационном Комитете осуществляется в </w:t>
      </w:r>
      <w:r>
        <w:br/>
      </w:r>
      <w:r>
        <w:rPr>
          <w:rFonts w:ascii="Times New Roman"/>
          <w:b w:val="false"/>
          <w:i w:val="false"/>
          <w:color w:val="000000"/>
          <w:sz w:val="28"/>
        </w:rPr>
        <w:t xml:space="preserve">
соответствии с Положением о Координационном комитете. </w:t>
      </w:r>
      <w:r>
        <w:br/>
      </w:r>
      <w:r>
        <w:rPr>
          <w:rFonts w:ascii="Times New Roman"/>
          <w:b w:val="false"/>
          <w:i w:val="false"/>
          <w:color w:val="000000"/>
          <w:sz w:val="28"/>
        </w:rPr>
        <w:t xml:space="preserve">
      Председатель Координационного комитета в своей деятельности руководствуется Соглашением, Положением о Координационном комитете и утвержденным Планом взаимодействия. </w:t>
      </w:r>
      <w:r>
        <w:br/>
      </w:r>
      <w:r>
        <w:rPr>
          <w:rFonts w:ascii="Times New Roman"/>
          <w:b w:val="false"/>
          <w:i w:val="false"/>
          <w:color w:val="000000"/>
          <w:sz w:val="28"/>
        </w:rPr>
        <w:t>
</w:t>
      </w:r>
      <w:r>
        <w:rPr>
          <w:rFonts w:ascii="Times New Roman"/>
          <w:b w:val="false"/>
          <w:i w:val="false"/>
          <w:color w:val="000000"/>
          <w:sz w:val="28"/>
        </w:rPr>
        <w:t xml:space="preserve">
      5. Председатель Координационного комитета: </w:t>
      </w:r>
      <w:r>
        <w:br/>
      </w:r>
      <w:r>
        <w:rPr>
          <w:rFonts w:ascii="Times New Roman"/>
          <w:b w:val="false"/>
          <w:i w:val="false"/>
          <w:color w:val="000000"/>
          <w:sz w:val="28"/>
        </w:rPr>
        <w:t xml:space="preserve">
      координирует действия сил и средств министерств обороны государств Сторон при выполнении совместных задач в рамках Соглашения; </w:t>
      </w:r>
      <w:r>
        <w:br/>
      </w:r>
      <w:r>
        <w:rPr>
          <w:rFonts w:ascii="Times New Roman"/>
          <w:b w:val="false"/>
          <w:i w:val="false"/>
          <w:color w:val="000000"/>
          <w:sz w:val="28"/>
        </w:rPr>
        <w:t xml:space="preserve">
      совместно с начальником войск радиационной, химической и биологической защиты (химической защиты) государств Сторон организует разработку и подготовку Плана взаимодействия и представляет его на утверждение министрам обороны государств Сторон; </w:t>
      </w:r>
      <w:r>
        <w:br/>
      </w:r>
      <w:r>
        <w:rPr>
          <w:rFonts w:ascii="Times New Roman"/>
          <w:b w:val="false"/>
          <w:i w:val="false"/>
          <w:color w:val="000000"/>
          <w:sz w:val="28"/>
        </w:rPr>
        <w:t xml:space="preserve">
      совместно с начальниками войск радиационной, химической и биологической защиты (химической защиты) государств Сторон организует разработку предложений и рекомендаций по дальнейшему развитию и повышению боевой готовности сил и средств контроля и оценки радиационной, химической и биологической обстановки министерств обороны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6. Руководство силами и средствами Объединенной системы при </w:t>
      </w:r>
      <w:r>
        <w:br/>
      </w:r>
      <w:r>
        <w:rPr>
          <w:rFonts w:ascii="Times New Roman"/>
          <w:b w:val="false"/>
          <w:i w:val="false"/>
          <w:color w:val="000000"/>
          <w:sz w:val="28"/>
        </w:rPr>
        <w:t xml:space="preserve">
взаимодействии в рамках Соглашения осуществляется на русском языке. </w:t>
      </w:r>
      <w:r>
        <w:br/>
      </w:r>
      <w:r>
        <w:rPr>
          <w:rFonts w:ascii="Times New Roman"/>
          <w:b w:val="false"/>
          <w:i w:val="false"/>
          <w:color w:val="000000"/>
          <w:sz w:val="28"/>
        </w:rPr>
        <w:t>
</w:t>
      </w:r>
      <w:r>
        <w:rPr>
          <w:rFonts w:ascii="Times New Roman"/>
          <w:b w:val="false"/>
          <w:i w:val="false"/>
          <w:color w:val="000000"/>
          <w:sz w:val="28"/>
        </w:rPr>
        <w:t xml:space="preserve">
      7. Допуск представителей служб радиационной, химической и </w:t>
      </w:r>
      <w:r>
        <w:br/>
      </w:r>
      <w:r>
        <w:rPr>
          <w:rFonts w:ascii="Times New Roman"/>
          <w:b w:val="false"/>
          <w:i w:val="false"/>
          <w:color w:val="000000"/>
          <w:sz w:val="28"/>
        </w:rPr>
        <w:t xml:space="preserve">
биологической защиты (химической защиты) государств Сторон на </w:t>
      </w:r>
      <w:r>
        <w:br/>
      </w:r>
      <w:r>
        <w:rPr>
          <w:rFonts w:ascii="Times New Roman"/>
          <w:b w:val="false"/>
          <w:i w:val="false"/>
          <w:color w:val="000000"/>
          <w:sz w:val="28"/>
        </w:rPr>
        <w:t xml:space="preserve">
радиационно, химически и биологически опасные объекты, и объекты сил и средств министерств обороны государств Сторон осуществляется в </w:t>
      </w:r>
      <w:r>
        <w:br/>
      </w:r>
      <w:r>
        <w:rPr>
          <w:rFonts w:ascii="Times New Roman"/>
          <w:b w:val="false"/>
          <w:i w:val="false"/>
          <w:color w:val="000000"/>
          <w:sz w:val="28"/>
        </w:rPr>
        <w:t xml:space="preserve">
соответствии с законодательством государства каждой из Сторон.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