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d560" w14:textId="d17d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об основах гармонизации технических регламентов государств-членов Евразийского экономического сообщества от 24 марта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Соглашение об основах гармонизации технических регламентов государств-членов Евразийского экономического сообщества от 24 марта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внесении изменений в Соглашение об основах гармонизации технических регламентов государств-членов Евразийского экономического сообщества от 24 марта 2005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об основах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гармонизации технических регламентов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сообщества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24 марта 2005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об основах гармонизации технических регламентов государств-членов Евразийского экономического сообщества от 24 марта 2005 года,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Порядок разработки технического регламента ЕврАзЭС утверждается решением Интеграционного Комитета Евразийского экономического сообщества".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с даты подписания и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 "___" ____________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Интеграционном Комитете Евразийского экономического сообщества, который, являясь депозитарием,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     Республики     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За  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Правительство  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Российской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Федерации                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