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9afc" w14:textId="2d99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действия инвестиционных налоговых преференций, предоставляемых для следующих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акционерному обществу "АрселорМиттал Темиртау" по инвестиционному проекту "Проект акционерного общества "АрселорМиттал Темиртау" по увеличению производства металлопродукции до 6 млн. тонн стали в год (2013-2014 гг.)":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лет с 1 января года, следующего за годом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1 января года, следующего за годом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земельному налогу - 5 (пять) лет с 1 января года, следующего за годом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товариществу с ограниченной ответственностью "Металлургический завод" по инвестиционному проекту "Строительство металлургического завода с полным циклом мощностью 4 млн. тонн жидкой стали в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календарных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момента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