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bf34" w14:textId="126b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"водного фонда" дополнить словами ", водоснабжения и водоотведения";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подпунктами 155), 156), 157), 158), 159), 160), 161) и 162)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"155) утверждает критерии безопасности водохозяйственных систем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156) разрабатывает правила пользования системами водоснабжения и водоотведения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157) разрабатывает правила приема сточных вод в системы водоотведения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158) утверждает правила технической эксплуатации систем водоснабжения и водоотведения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159) разрабатывает отраслевые (секторальные) и региональные программы по гидромелиорации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160) определяет направления развития гидромелиорации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161) устанавливает порядок проведения паспортизации гидромелиоративных систем и водохозяйственных сооружений, а также форму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162) осуществляет методическое обеспечение деятельности водохозяйственных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подпунктом 235)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"235) реализацию отраслевых (секторальных) и региональных  программ по гидромелиорации земель.";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№ 1265 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особо важных групповых и локальных систем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являющихся безальтернативными источниками водоснабжения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