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ae38" w14:textId="784a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2009 - 2011 годы"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5000000000 (пять миллиардов) тенге на увеличение уставного капитала акционерного общества "</w:t>
      </w:r>
      <w:r>
        <w:rPr>
          <w:rFonts w:ascii="Times New Roman"/>
          <w:b w:val="false"/>
          <w:i w:val="false"/>
          <w:color w:val="000000"/>
          <w:sz w:val="28"/>
        </w:rPr>
        <w:t>Национальная компания "Социально-предпринимательская корпорация "Жетісу"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увеличения в установленном законодательством порядке уставного капитала акционерного общества "Международный центр приграничного сотрудничества "Хоргос" на оплату строительства объектов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16.11.2009 </w:t>
      </w:r>
      <w:r>
        <w:rPr>
          <w:rFonts w:ascii="Times New Roman"/>
          <w:b w:val="false"/>
          <w:i w:val="false"/>
          <w:color w:val="000000"/>
          <w:sz w:val="28"/>
        </w:rPr>
        <w:t>№ 1841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