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bf43" w14:textId="bb3b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между Республикой Казахстан и Азиатским Банком Развития в рамках Антикризисной программы поддержки стран-членов Азиатского Банка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29 сентября 2009 года № 1463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займе между Республикой Казахстан и Азиатским Банком Развития в рамках Антикризисной программы поддержки стран-членов Азиатского Банка Развития".</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w:t>
      </w:r>
      <w:r>
        <w:br/>
      </w:r>
      <w:r>
        <w:rPr>
          <w:rFonts w:ascii="Times New Roman"/>
          <w:b w:val="false"/>
          <w:i w:val="false"/>
          <w:color w:val="000000"/>
          <w:sz w:val="28"/>
        </w:rPr>
        <w:t>
</w:t>
      </w:r>
      <w:r>
        <w:rPr>
          <w:rFonts w:ascii="Times New Roman"/>
          <w:b/>
          <w:i w:val="false"/>
          <w:color w:val="000080"/>
          <w:sz w:val="28"/>
        </w:rPr>
        <w:t>РЕСПУБЛИКИ КАЗАХСТАН</w:t>
      </w:r>
    </w:p>
    <w:p>
      <w:pPr>
        <w:spacing w:after="0"/>
        <w:ind w:left="0"/>
        <w:jc w:val="both"/>
      </w:pPr>
      <w:r>
        <w:rPr>
          <w:rFonts w:ascii="Times New Roman"/>
          <w:b/>
          <w:i w:val="false"/>
          <w:color w:val="000080"/>
          <w:sz w:val="28"/>
        </w:rPr>
        <w:t>О ратификации Соглашения о займе между Республикой Казахстан и</w:t>
      </w:r>
      <w:r>
        <w:br/>
      </w:r>
      <w:r>
        <w:rPr>
          <w:rFonts w:ascii="Times New Roman"/>
          <w:b w:val="false"/>
          <w:i w:val="false"/>
          <w:color w:val="000000"/>
          <w:sz w:val="28"/>
        </w:rPr>
        <w:t>
</w:t>
      </w:r>
      <w:r>
        <w:rPr>
          <w:rFonts w:ascii="Times New Roman"/>
          <w:b/>
          <w:i w:val="false"/>
          <w:color w:val="000080"/>
          <w:sz w:val="28"/>
        </w:rPr>
        <w:t>Азиатским Банком Развития в рамках Антикризисной программы</w:t>
      </w:r>
      <w:r>
        <w:br/>
      </w:r>
      <w:r>
        <w:rPr>
          <w:rFonts w:ascii="Times New Roman"/>
          <w:b w:val="false"/>
          <w:i w:val="false"/>
          <w:color w:val="000000"/>
          <w:sz w:val="28"/>
        </w:rPr>
        <w:t>
</w:t>
      </w:r>
      <w:r>
        <w:rPr>
          <w:rFonts w:ascii="Times New Roman"/>
          <w:b/>
          <w:i w:val="false"/>
          <w:color w:val="000080"/>
          <w:sz w:val="28"/>
        </w:rPr>
        <w:t>поддержки стран-членов Азиатского Банка Развития</w:t>
      </w:r>
    </w:p>
    <w:p>
      <w:pPr>
        <w:spacing w:after="0"/>
        <w:ind w:left="0"/>
        <w:jc w:val="both"/>
      </w:pPr>
      <w:r>
        <w:rPr>
          <w:rFonts w:ascii="Times New Roman"/>
          <w:b w:val="false"/>
          <w:i w:val="false"/>
          <w:color w:val="000000"/>
          <w:sz w:val="28"/>
        </w:rPr>
        <w:t>      Ратифицировать Соглашение о займе между Республикой Казахстан и Азиатским Банком Развития в рамках Антикризисной программы поддержки стран-членов Азиатского Банка Развития, подписанное в Астане 14 сентября 2009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val="false"/>
          <w:i w:val="false"/>
          <w:color w:val="000000"/>
          <w:sz w:val="28"/>
        </w:rPr>
        <w:t>НОМЕР ЗАЙМА 2543-KAZ</w:t>
      </w:r>
    </w:p>
    <w:p>
      <w:pPr>
        <w:spacing w:after="0"/>
        <w:ind w:left="0"/>
        <w:jc w:val="both"/>
      </w:pPr>
      <w:r>
        <w:rPr>
          <w:rFonts w:ascii="Times New Roman"/>
          <w:b/>
          <w:i w:val="false"/>
          <w:color w:val="000080"/>
          <w:sz w:val="28"/>
        </w:rPr>
        <w:t>СОГЛАШЕНИЕ О ЗАЙМЕ</w:t>
      </w:r>
    </w:p>
    <w:p>
      <w:pPr>
        <w:spacing w:after="0"/>
        <w:ind w:left="0"/>
        <w:jc w:val="both"/>
      </w:pPr>
      <w:r>
        <w:rPr>
          <w:rFonts w:ascii="Times New Roman"/>
          <w:b/>
          <w:i w:val="false"/>
          <w:color w:val="000080"/>
          <w:sz w:val="28"/>
        </w:rPr>
        <w:t>(Программа по Антикризисной Поддержке)</w:t>
      </w:r>
    </w:p>
    <w:p>
      <w:pPr>
        <w:spacing w:after="0"/>
        <w:ind w:left="0"/>
        <w:jc w:val="both"/>
      </w:pPr>
      <w:r>
        <w:rPr>
          <w:rFonts w:ascii="Times New Roman"/>
          <w:b/>
          <w:i w:val="false"/>
          <w:color w:val="000080"/>
          <w:sz w:val="28"/>
        </w:rPr>
        <w:t>между</w:t>
      </w:r>
    </w:p>
    <w:p>
      <w:pPr>
        <w:spacing w:after="0"/>
        <w:ind w:left="0"/>
        <w:jc w:val="both"/>
      </w:pPr>
      <w:r>
        <w:rPr>
          <w:rFonts w:ascii="Times New Roman"/>
          <w:b/>
          <w:i w:val="false"/>
          <w:color w:val="000080"/>
          <w:sz w:val="28"/>
        </w:rPr>
        <w:t>РЕСПУБЛИКОЙ КАЗАХСТАН</w:t>
      </w:r>
    </w:p>
    <w:p>
      <w:pPr>
        <w:spacing w:after="0"/>
        <w:ind w:left="0"/>
        <w:jc w:val="both"/>
      </w:pPr>
      <w:r>
        <w:rPr>
          <w:rFonts w:ascii="Times New Roman"/>
          <w:b/>
          <w:i w:val="false"/>
          <w:color w:val="000080"/>
          <w:sz w:val="28"/>
        </w:rPr>
        <w:t>и</w:t>
      </w:r>
    </w:p>
    <w:p>
      <w:pPr>
        <w:spacing w:after="0"/>
        <w:ind w:left="0"/>
        <w:jc w:val="both"/>
      </w:pPr>
      <w:r>
        <w:rPr>
          <w:rFonts w:ascii="Times New Roman"/>
          <w:b/>
          <w:i w:val="false"/>
          <w:color w:val="000080"/>
          <w:sz w:val="28"/>
        </w:rPr>
        <w:t>АЗИАТСКИМ БАНКОМ РАЗВИТИЯ</w:t>
      </w:r>
    </w:p>
    <w:p>
      <w:pPr>
        <w:spacing w:after="0"/>
        <w:ind w:left="0"/>
        <w:jc w:val="both"/>
      </w:pPr>
      <w:r>
        <w:rPr>
          <w:rFonts w:ascii="Times New Roman"/>
          <w:b/>
          <w:i w:val="false"/>
          <w:color w:val="000080"/>
          <w:sz w:val="28"/>
        </w:rPr>
        <w:t>14 сентября 2009 года</w:t>
      </w:r>
    </w:p>
    <w:p>
      <w:pPr>
        <w:spacing w:after="0"/>
        <w:ind w:left="0"/>
        <w:jc w:val="both"/>
      </w:pPr>
      <w:r>
        <w:rPr>
          <w:rFonts w:ascii="Times New Roman"/>
          <w:b/>
          <w:i w:val="false"/>
          <w:color w:val="000080"/>
          <w:sz w:val="28"/>
        </w:rPr>
        <w:t>СОГЛАШЕНИЕ О ЗАЙМЕ</w:t>
      </w:r>
      <w:r>
        <w:br/>
      </w:r>
      <w:r>
        <w:rPr>
          <w:rFonts w:ascii="Times New Roman"/>
          <w:b w:val="false"/>
          <w:i w:val="false"/>
          <w:color w:val="000000"/>
          <w:sz w:val="28"/>
        </w:rPr>
        <w:t>
</w:t>
      </w:r>
      <w:r>
        <w:rPr>
          <w:rFonts w:ascii="Times New Roman"/>
          <w:b/>
          <w:i w:val="false"/>
          <w:color w:val="000080"/>
          <w:sz w:val="28"/>
        </w:rPr>
        <w:t>(Обычные операции)</w:t>
      </w:r>
    </w:p>
    <w:p>
      <w:pPr>
        <w:spacing w:after="0"/>
        <w:ind w:left="0"/>
        <w:jc w:val="both"/>
      </w:pPr>
      <w:r>
        <w:rPr>
          <w:rFonts w:ascii="Times New Roman"/>
          <w:b w:val="false"/>
          <w:i w:val="false"/>
          <w:color w:val="000000"/>
          <w:sz w:val="28"/>
        </w:rPr>
        <w:t>      СОГЛАШЕНИЕ О ЗАЙМЕ от ____________ между РЕСПУБЛИКОЙ КАЗАХСТАН (именуемой в дальнейшем "Заемщик") и АЗИАТСКИМ БАНКОМ РАЗВИТИЯ (именуемым в дальнейшем "АБР").</w:t>
      </w:r>
      <w:r>
        <w:br/>
      </w:r>
      <w:r>
        <w:rPr>
          <w:rFonts w:ascii="Times New Roman"/>
          <w:b w:val="false"/>
          <w:i w:val="false"/>
          <w:color w:val="000000"/>
          <w:sz w:val="28"/>
        </w:rPr>
        <w:t>
      ПРИНИМАЯ ВО ВНИМАНИЕ НИЖЕСЛЕДУЮЩЕЕ</w:t>
      </w:r>
      <w:r>
        <w:br/>
      </w:r>
      <w:r>
        <w:rPr>
          <w:rFonts w:ascii="Times New Roman"/>
          <w:b w:val="false"/>
          <w:i w:val="false"/>
          <w:color w:val="000000"/>
          <w:sz w:val="28"/>
        </w:rPr>
        <w:t>
      (A) АБР получил от Заемщика Письмо о Политике Развития от 26 августа 2009 года (именуемой в дальнейшем "Письмо о Политике"), определяющее будущие задачи, политики и действия Заемщика по антикризисным мерам (именуемой в дальнейшем "Антикризисные меры Заемщика"), как описано в Приложении 1 настоящего Соглашения о займе;</w:t>
      </w:r>
      <w:r>
        <w:br/>
      </w:r>
      <w:r>
        <w:rPr>
          <w:rFonts w:ascii="Times New Roman"/>
          <w:b w:val="false"/>
          <w:i w:val="false"/>
          <w:color w:val="000000"/>
          <w:sz w:val="28"/>
        </w:rPr>
        <w:t>
      (B) Заемщик обратился к АБР о выделении займа в рамках его Программы по Антикризисной Поддержке (именуемой в дальнейшем "Программа Поддержки") для поддержания Антикризисных мер Заемщика; а также</w:t>
      </w:r>
      <w:r>
        <w:br/>
      </w:r>
      <w:r>
        <w:rPr>
          <w:rFonts w:ascii="Times New Roman"/>
          <w:b w:val="false"/>
          <w:i w:val="false"/>
          <w:color w:val="000000"/>
          <w:sz w:val="28"/>
        </w:rPr>
        <w:t>
      (C) АБР выразил согласие на предоставление Заемщику займа из ресурсов Программы Поддержки на установленных ниже условиях и основаниях;</w:t>
      </w:r>
      <w:r>
        <w:br/>
      </w:r>
      <w:r>
        <w:rPr>
          <w:rFonts w:ascii="Times New Roman"/>
          <w:b w:val="false"/>
          <w:i w:val="false"/>
          <w:color w:val="000000"/>
          <w:sz w:val="28"/>
        </w:rPr>
        <w:t>
      С УЧЕТОМ ВЫШЕИЗЛОЖЕННОГО, стороны настоящего соглашения договорились о следующем:</w:t>
      </w:r>
    </w:p>
    <w:p>
      <w:pPr>
        <w:spacing w:after="0"/>
        <w:ind w:left="0"/>
        <w:jc w:val="both"/>
      </w:pPr>
      <w:r>
        <w:rPr>
          <w:rFonts w:ascii="Times New Roman"/>
          <w:b/>
          <w:i w:val="false"/>
          <w:color w:val="000080"/>
          <w:sz w:val="28"/>
        </w:rPr>
        <w:t>СТАТЬЯ I</w:t>
      </w:r>
      <w:r>
        <w:br/>
      </w:r>
      <w:r>
        <w:rPr>
          <w:rFonts w:ascii="Times New Roman"/>
          <w:b w:val="false"/>
          <w:i w:val="false"/>
          <w:color w:val="000000"/>
          <w:sz w:val="28"/>
        </w:rPr>
        <w:t>
</w:t>
      </w:r>
      <w:r>
        <w:rPr>
          <w:rFonts w:ascii="Times New Roman"/>
          <w:b/>
          <w:i w:val="false"/>
          <w:color w:val="000080"/>
          <w:sz w:val="28"/>
        </w:rPr>
        <w:t>Правила предоставления займа; Определения</w:t>
      </w:r>
    </w:p>
    <w:p>
      <w:pPr>
        <w:spacing w:after="0"/>
        <w:ind w:left="0"/>
        <w:jc w:val="both"/>
      </w:pPr>
      <w:r>
        <w:rPr>
          <w:rFonts w:ascii="Times New Roman"/>
          <w:b w:val="false"/>
          <w:i w:val="false"/>
          <w:color w:val="000000"/>
          <w:sz w:val="28"/>
        </w:rPr>
        <w:t>      Раздел 1.01. Все положения предоставления займа для обычных операций, применимые к займам по Лондонской межбанковской ставке, выделяющимся из обычных основных ресурсов АБР от 1 июля 2001 года, настоящим считаются применимыми к данному Соглашению о займе и действующими в полном объеме, как если бы они были изложены в тексте настоящего Соглашения, однако с соблюдением нижеследующих изменений (вышеупомянутые Правила предоставления займа для обычных операций с изменениями в дальнейшем именуются "Правила предоставления займа"):</w:t>
      </w:r>
      <w:r>
        <w:br/>
      </w:r>
      <w:r>
        <w:rPr>
          <w:rFonts w:ascii="Times New Roman"/>
          <w:b w:val="false"/>
          <w:i w:val="false"/>
          <w:color w:val="000000"/>
          <w:sz w:val="28"/>
        </w:rPr>
        <w:t>
      (a) Раздел 2.01 (22) удален;</w:t>
      </w:r>
      <w:r>
        <w:br/>
      </w:r>
      <w:r>
        <w:rPr>
          <w:rFonts w:ascii="Times New Roman"/>
          <w:b w:val="false"/>
          <w:i w:val="false"/>
          <w:color w:val="000000"/>
          <w:sz w:val="28"/>
        </w:rPr>
        <w:t>
      (b) Определение "Фиксированный спрэд" в разделе 2.01 (23) удален во всех местах упоминания в этом подразделе и заменен на 2.0%:</w:t>
      </w:r>
    </w:p>
    <w:p>
      <w:pPr>
        <w:spacing w:after="0"/>
        <w:ind w:left="0"/>
        <w:jc w:val="both"/>
      </w:pPr>
      <w:r>
        <w:rPr>
          <w:rFonts w:ascii="Times New Roman"/>
          <w:b w:val="false"/>
          <w:i w:val="false"/>
          <w:color w:val="000000"/>
          <w:sz w:val="28"/>
        </w:rPr>
        <w:t>      (c) Раздел 2.01 (49) удален и заменен нижеследущим:</w:t>
      </w:r>
      <w:r>
        <w:br/>
      </w:r>
      <w:r>
        <w:rPr>
          <w:rFonts w:ascii="Times New Roman"/>
          <w:b w:val="false"/>
          <w:i w:val="false"/>
          <w:color w:val="000000"/>
          <w:sz w:val="28"/>
        </w:rPr>
        <w:t>
      (49) Определение "Программа" означает Программу Поддержки,</w:t>
      </w:r>
      <w:r>
        <w:br/>
      </w:r>
      <w:r>
        <w:rPr>
          <w:rFonts w:ascii="Times New Roman"/>
          <w:b w:val="false"/>
          <w:i w:val="false"/>
          <w:color w:val="000000"/>
          <w:sz w:val="28"/>
        </w:rPr>
        <w:t>
       -   для которой АБР согласился предоставить заем, описанный в Соглашении о займе, и его описание может быть изменено время от времени по согласию между АБР и Заемщиком.</w:t>
      </w:r>
    </w:p>
    <w:p>
      <w:pPr>
        <w:spacing w:after="0"/>
        <w:ind w:left="0"/>
        <w:jc w:val="both"/>
      </w:pPr>
      <w:r>
        <w:rPr>
          <w:rFonts w:ascii="Times New Roman"/>
          <w:b w:val="false"/>
          <w:i w:val="false"/>
          <w:color w:val="000000"/>
          <w:sz w:val="28"/>
        </w:rPr>
        <w:t>      (д) Термин "Проект" везде, где он упоминается в Правилах предоставления займа, будет заменен термином "Программа";</w:t>
      </w:r>
    </w:p>
    <w:p>
      <w:pPr>
        <w:spacing w:after="0"/>
        <w:ind w:left="0"/>
        <w:jc w:val="both"/>
      </w:pPr>
      <w:r>
        <w:rPr>
          <w:rFonts w:ascii="Times New Roman"/>
          <w:b w:val="false"/>
          <w:i w:val="false"/>
          <w:color w:val="000000"/>
          <w:sz w:val="28"/>
        </w:rPr>
        <w:t>      (е) Раздел 2.01 (51) удален и заменен нижеследующим:</w:t>
      </w:r>
      <w:r>
        <w:br/>
      </w:r>
      <w:r>
        <w:rPr>
          <w:rFonts w:ascii="Times New Roman"/>
          <w:b w:val="false"/>
          <w:i w:val="false"/>
          <w:color w:val="000000"/>
          <w:sz w:val="28"/>
        </w:rPr>
        <w:t>
      (51) Термин "Исполнительное агентство по Программе" означает орган или органы, ответственные за исполнение Программы Поддержки как предусмотрено в Соглашении о займе.</w:t>
      </w:r>
    </w:p>
    <w:p>
      <w:pPr>
        <w:spacing w:after="0"/>
        <w:ind w:left="0"/>
        <w:jc w:val="both"/>
      </w:pPr>
      <w:r>
        <w:rPr>
          <w:rFonts w:ascii="Times New Roman"/>
          <w:b w:val="false"/>
          <w:i w:val="false"/>
          <w:color w:val="000000"/>
          <w:sz w:val="28"/>
        </w:rPr>
        <w:t>      (ж) Термин "Исполнительное агентство по Проекту" везде, где он упоминается в Правилах предоставления займа, будет заменен термином "Исполнительное агентство по Программе";</w:t>
      </w:r>
    </w:p>
    <w:p>
      <w:pPr>
        <w:spacing w:after="0"/>
        <w:ind w:left="0"/>
        <w:jc w:val="both"/>
      </w:pPr>
      <w:r>
        <w:rPr>
          <w:rFonts w:ascii="Times New Roman"/>
          <w:b w:val="false"/>
          <w:i w:val="false"/>
          <w:color w:val="000000"/>
          <w:sz w:val="28"/>
        </w:rPr>
        <w:t>      (з) Раздел 3.03 удален и заменен нижеследующим:</w:t>
      </w:r>
    </w:p>
    <w:p>
      <w:pPr>
        <w:spacing w:after="0"/>
        <w:ind w:left="0"/>
        <w:jc w:val="both"/>
      </w:pPr>
      <w:r>
        <w:rPr>
          <w:rFonts w:ascii="Times New Roman"/>
          <w:b w:val="false"/>
          <w:i w:val="false"/>
          <w:color w:val="000000"/>
          <w:sz w:val="28"/>
        </w:rPr>
        <w:t xml:space="preserve">      Раздел 3.03. </w:t>
      </w:r>
      <w:r>
        <w:rPr>
          <w:rFonts w:ascii="Times New Roman"/>
          <w:b/>
          <w:i w:val="false"/>
          <w:color w:val="000000"/>
          <w:sz w:val="28"/>
        </w:rPr>
        <w:t>Комиссия за резервирование.</w:t>
      </w:r>
      <w:r>
        <w:rPr>
          <w:rFonts w:ascii="Times New Roman"/>
          <w:b w:val="false"/>
          <w:i w:val="false"/>
          <w:color w:val="000000"/>
          <w:sz w:val="28"/>
        </w:rPr>
        <w:t xml:space="preserve"> Заемщик обязуется выплачивать комиссию за резервирование по невостребованной сумме кредита по ставкам и условиям, предусмотренным настоящим Соглашением о займе.</w:t>
      </w:r>
      <w:r>
        <w:br/>
      </w:r>
      <w:r>
        <w:rPr>
          <w:rFonts w:ascii="Times New Roman"/>
          <w:b w:val="false"/>
          <w:i w:val="false"/>
          <w:color w:val="000000"/>
          <w:sz w:val="28"/>
        </w:rPr>
        <w:t>
      (к) Раздел 3.06 удален и заменен нижеследующим:</w:t>
      </w:r>
    </w:p>
    <w:p>
      <w:pPr>
        <w:spacing w:after="0"/>
        <w:ind w:left="0"/>
        <w:jc w:val="both"/>
      </w:pPr>
      <w:r>
        <w:rPr>
          <w:rFonts w:ascii="Times New Roman"/>
          <w:b w:val="false"/>
          <w:i w:val="false"/>
          <w:color w:val="000000"/>
          <w:sz w:val="28"/>
        </w:rPr>
        <w:t xml:space="preserve">      Раздел 3.06. </w:t>
      </w:r>
      <w:r>
        <w:rPr>
          <w:rFonts w:ascii="Times New Roman"/>
          <w:b/>
          <w:i w:val="false"/>
          <w:color w:val="000000"/>
          <w:sz w:val="28"/>
        </w:rPr>
        <w:t>Возмещение.</w:t>
      </w:r>
      <w:r>
        <w:rPr>
          <w:rFonts w:ascii="Times New Roman"/>
          <w:b w:val="false"/>
          <w:i w:val="false"/>
          <w:color w:val="000000"/>
          <w:sz w:val="28"/>
        </w:rPr>
        <w:t xml:space="preserve"> После каждого уведомления АБР о том, что его расчеты затрат на маржу стоимости финансирования в отношении валюты займа (или утвержденной валюты) в любом полугодии привели к экономии средств, АБР обязуется предоставить возмещение Заемщику. Сумма возмещения будет определена путем умножения (i) затрат на маржу стоимости финансирования (выраженной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непосредственно после полугодия, в котором были рассчитаны затраты на маржу стоимости финансирования. АБР обязуется вычесть сумму возмещения из процентов, подлежащих к оплате Заемщиком в течение процентного периода, начинающегося после полугодия, в котором были рассчитаны затраты на маржу стоимости финансирования.</w:t>
      </w:r>
      <w:r>
        <w:br/>
      </w:r>
      <w:r>
        <w:rPr>
          <w:rFonts w:ascii="Times New Roman"/>
          <w:b w:val="false"/>
          <w:i w:val="false"/>
          <w:color w:val="000000"/>
          <w:sz w:val="28"/>
        </w:rPr>
        <w:t>
      (л) Раздел 3.07 удален и заменен нижеследующим:</w:t>
      </w:r>
    </w:p>
    <w:p>
      <w:pPr>
        <w:spacing w:after="0"/>
        <w:ind w:left="0"/>
        <w:jc w:val="both"/>
      </w:pPr>
      <w:r>
        <w:rPr>
          <w:rFonts w:ascii="Times New Roman"/>
          <w:b w:val="false"/>
          <w:i w:val="false"/>
          <w:color w:val="000000"/>
          <w:sz w:val="28"/>
        </w:rPr>
        <w:t xml:space="preserve">      Раздел 3.07. </w:t>
      </w:r>
      <w:r>
        <w:rPr>
          <w:rFonts w:ascii="Times New Roman"/>
          <w:b/>
          <w:i w:val="false"/>
          <w:color w:val="000000"/>
          <w:sz w:val="28"/>
        </w:rPr>
        <w:t>Дополнительная сумма.</w:t>
      </w:r>
      <w:r>
        <w:rPr>
          <w:rFonts w:ascii="Times New Roman"/>
          <w:b w:val="false"/>
          <w:i w:val="false"/>
          <w:color w:val="000000"/>
          <w:sz w:val="28"/>
        </w:rPr>
        <w:t xml:space="preserve"> После каждого уведомления АБР о том, что его расчеты затрат на маржу стоимости финансирования в отношении валюты займа (или утвержденной валюты) в любом полугодии привели к дополнительным затратам, Заемщик обязуется выплатить АБР дополнительную сумму. Данная сумма будет определена путем умножения (i) взвешенных затрат на маржу стоимости финансирования (в виде годового процентного значения) на (ii) основную сумму займа, по которой Заемщик обязуется выплачивать проценты в течение процентного периода, начинающегося после полугодия, в котором были рассчитаны расходы на маржу стоимости финансирования. АБР обязуется прибавить сумму дополнительной оплаты к процентам, подлежащим к оплате Заемщиком в течение процентного периода, начинающегося после полугодия, в котором были рассчитаны расходы на маржу стоимости финансирования.</w:t>
      </w:r>
      <w:r>
        <w:br/>
      </w:r>
      <w:r>
        <w:rPr>
          <w:rFonts w:ascii="Times New Roman"/>
          <w:b w:val="false"/>
          <w:i w:val="false"/>
          <w:color w:val="000000"/>
          <w:sz w:val="28"/>
        </w:rPr>
        <w:t>
      (м) Раздел 6.01 (а) удален и заменен нижеследующим:</w:t>
      </w:r>
    </w:p>
    <w:p>
      <w:pPr>
        <w:spacing w:after="0"/>
        <w:ind w:left="0"/>
        <w:jc w:val="both"/>
      </w:pPr>
      <w:r>
        <w:rPr>
          <w:rFonts w:ascii="Times New Roman"/>
          <w:b w:val="false"/>
          <w:i w:val="false"/>
          <w:color w:val="000000"/>
          <w:sz w:val="28"/>
        </w:rPr>
        <w:t xml:space="preserve">      Раздел 6.01. </w:t>
      </w:r>
      <w:r>
        <w:rPr>
          <w:rFonts w:ascii="Times New Roman"/>
          <w:b/>
          <w:i w:val="false"/>
          <w:color w:val="000000"/>
          <w:sz w:val="28"/>
        </w:rPr>
        <w:t>Снятие со счета займа.</w:t>
      </w:r>
      <w:r>
        <w:rPr>
          <w:rFonts w:ascii="Times New Roman"/>
          <w:b w:val="false"/>
          <w:i w:val="false"/>
          <w:color w:val="000000"/>
          <w:sz w:val="28"/>
        </w:rPr>
        <w:t xml:space="preserve"> (а) Следуя любым положениям или ограничениям, предусмотренных в Соглашении о займе, Заемщик имеет право снять со счета займа сумму, которая требуется для оплаты расходов, требуемых по Программе и финансируемых в рамках Соглашения о займе.</w:t>
      </w:r>
      <w:r>
        <w:br/>
      </w:r>
      <w:r>
        <w:rPr>
          <w:rFonts w:ascii="Times New Roman"/>
          <w:b w:val="false"/>
          <w:i w:val="false"/>
          <w:color w:val="000000"/>
          <w:sz w:val="28"/>
        </w:rPr>
        <w:t>
      Раздел 1.02. При каждом случае употребления в настоящем Соглашении о займе, если иное не требуется по контексту, следующие термины, получившие определение в Правилах предоставления займа, имеют соответстующие значения, и нижеуказанные дополнительные термины имеют нижеследующие определения:</w:t>
      </w:r>
      <w:r>
        <w:br/>
      </w:r>
      <w:r>
        <w:rPr>
          <w:rFonts w:ascii="Times New Roman"/>
          <w:b w:val="false"/>
          <w:i w:val="false"/>
          <w:color w:val="000000"/>
          <w:sz w:val="28"/>
        </w:rPr>
        <w:t>
      (a) "Партнерское финансирование" означает средства в Тенге, надлежащих Заемщику и оплачиваемых из поступлений Займа в рамках Порграммы Поддержки и указанных в Приложении 1 и 5 к настоящему Соглашению о займе;</w:t>
      </w:r>
      <w:r>
        <w:br/>
      </w:r>
      <w:r>
        <w:rPr>
          <w:rFonts w:ascii="Times New Roman"/>
          <w:b w:val="false"/>
          <w:i w:val="false"/>
          <w:color w:val="000000"/>
          <w:sz w:val="28"/>
        </w:rPr>
        <w:t>
      (b) "Депозитный счет" означает счет, указанный в параграфе 4 Приложения 3 к настоящему Соглашению о займе;</w:t>
      </w:r>
      <w:r>
        <w:br/>
      </w:r>
      <w:r>
        <w:rPr>
          <w:rFonts w:ascii="Times New Roman"/>
          <w:b w:val="false"/>
          <w:i w:val="false"/>
          <w:color w:val="000000"/>
          <w:sz w:val="28"/>
        </w:rPr>
        <w:t>
      (c) "Разрешенные позиции" означают товары, работы и услуги импортируемых для целей, согласованных с Программой Поддержки (за исключением тех, специально исключенных в соответствии с дополнением к Приложении 3 к настоящему Соглашению о займе), затраты на обмен валюты, которые могут быть профинансированными из средств Займа;</w:t>
      </w:r>
      <w:r>
        <w:br/>
      </w:r>
      <w:r>
        <w:rPr>
          <w:rFonts w:ascii="Times New Roman"/>
          <w:b w:val="false"/>
          <w:i w:val="false"/>
          <w:color w:val="000000"/>
          <w:sz w:val="28"/>
        </w:rPr>
        <w:t>
      (d) "Письмо о политике" означает письмо о политике развития, указанного в Перечне А настоящего Соглашения о займе;</w:t>
      </w:r>
      <w:r>
        <w:br/>
      </w:r>
      <w:r>
        <w:rPr>
          <w:rFonts w:ascii="Times New Roman"/>
          <w:b w:val="false"/>
          <w:i w:val="false"/>
          <w:color w:val="000000"/>
          <w:sz w:val="28"/>
        </w:rPr>
        <w:t>
      (e) "Исполнительное агентство по Программе" означает для целей и в рамках значения Правил о предоставлении займа, Министерство финансов Заемщика, которое является ответственным за исполнение Программы Поддержки;</w:t>
      </w:r>
      <w:r>
        <w:br/>
      </w:r>
      <w:r>
        <w:rPr>
          <w:rFonts w:ascii="Times New Roman"/>
          <w:b w:val="false"/>
          <w:i w:val="false"/>
          <w:color w:val="000000"/>
          <w:sz w:val="28"/>
        </w:rPr>
        <w:t>
      (f) "Период Программы" означает период с 1 января 2009 до 30 июня 2010 года; и</w:t>
      </w:r>
      <w:r>
        <w:br/>
      </w:r>
      <w:r>
        <w:rPr>
          <w:rFonts w:ascii="Times New Roman"/>
          <w:b w:val="false"/>
          <w:i w:val="false"/>
          <w:color w:val="000000"/>
          <w:sz w:val="28"/>
        </w:rPr>
        <w:t>
      (g) "Тенге" или знак "KZT" означает валюту Заемщика.</w:t>
      </w:r>
    </w:p>
    <w:p>
      <w:pPr>
        <w:spacing w:after="0"/>
        <w:ind w:left="0"/>
        <w:jc w:val="both"/>
      </w:pPr>
      <w:r>
        <w:rPr>
          <w:rFonts w:ascii="Times New Roman"/>
          <w:b/>
          <w:i w:val="false"/>
          <w:color w:val="000080"/>
          <w:sz w:val="28"/>
        </w:rPr>
        <w:t>СТАТЬЯ II</w:t>
      </w:r>
      <w:r>
        <w:br/>
      </w:r>
      <w:r>
        <w:rPr>
          <w:rFonts w:ascii="Times New Roman"/>
          <w:b w:val="false"/>
          <w:i w:val="false"/>
          <w:color w:val="000000"/>
          <w:sz w:val="28"/>
        </w:rPr>
        <w:t>
</w:t>
      </w:r>
      <w:r>
        <w:rPr>
          <w:rFonts w:ascii="Times New Roman"/>
          <w:b/>
          <w:i w:val="false"/>
          <w:color w:val="000080"/>
          <w:sz w:val="28"/>
        </w:rPr>
        <w:t>Заем</w:t>
      </w:r>
    </w:p>
    <w:p>
      <w:pPr>
        <w:spacing w:after="0"/>
        <w:ind w:left="0"/>
        <w:jc w:val="both"/>
      </w:pPr>
      <w:r>
        <w:rPr>
          <w:rFonts w:ascii="Times New Roman"/>
          <w:b w:val="false"/>
          <w:i w:val="false"/>
          <w:color w:val="000000"/>
          <w:sz w:val="28"/>
        </w:rPr>
        <w:t>      Раздел 2.01. (а) АБР соглашается предоставить заем Заемщику из средств своей Программы по Антикризисной Поддержке, финансируемых из обычных капитальных ресурсов АБР на сумму пятьсот миллионов долларов США (500 000 000), причем данная сумма может быть периодически конвертирована в рамках Конвертации Валюты в соответствии с положениями Раздела 2.06 настоящего Соглашения о займе.</w:t>
      </w:r>
      <w:r>
        <w:br/>
      </w:r>
      <w:r>
        <w:rPr>
          <w:rFonts w:ascii="Times New Roman"/>
          <w:b w:val="false"/>
          <w:i w:val="false"/>
          <w:color w:val="000000"/>
          <w:sz w:val="28"/>
        </w:rPr>
        <w:t>
      (b) Заем предполагает период основного погашения 2 года, а также льготный период согласно пункту (с) данной Статьи.</w:t>
      </w:r>
      <w:r>
        <w:br/>
      </w:r>
      <w:r>
        <w:rPr>
          <w:rFonts w:ascii="Times New Roman"/>
          <w:b w:val="false"/>
          <w:i w:val="false"/>
          <w:color w:val="000000"/>
          <w:sz w:val="28"/>
        </w:rPr>
        <w:t>
      (c) Определение "льготный период", используемое в пункте (b) данной Статьи означает период, предшествующий первой Дате платежа в погашение основной суммы займа в соответствии с графиком погашения, изложенным в Приложении 2 настоящего Соглашения о займе.</w:t>
      </w:r>
      <w:r>
        <w:br/>
      </w:r>
      <w:r>
        <w:rPr>
          <w:rFonts w:ascii="Times New Roman"/>
          <w:b w:val="false"/>
          <w:i w:val="false"/>
          <w:color w:val="000000"/>
          <w:sz w:val="28"/>
        </w:rPr>
        <w:t>
      Раздел 2.02. Заемщик обязуется выплачивать АБР проценты на основную сумму займа, востребованного и невостребованного, периодически по ставкам каждого процентного периода, равным сумме Лондонской межбанковской ставки и 2.00 % согласно Разделу 3.02 Правил предоставления займа.</w:t>
      </w:r>
      <w:r>
        <w:br/>
      </w:r>
      <w:r>
        <w:rPr>
          <w:rFonts w:ascii="Times New Roman"/>
          <w:b w:val="false"/>
          <w:i w:val="false"/>
          <w:color w:val="000000"/>
          <w:sz w:val="28"/>
        </w:rPr>
        <w:t>
      Раздел 2.03.Заемщик обязуется выплачивать комиссию за резервирование в сумме 0.75 % в год. Данная комиссия начисляется на невостребованную сумму займа по истечению шестидесяти (60) дней после заключения настоящего Соглашения о займе на соответствующие даты, когда суммы будут изъяты со счета займа или будут аннулированы.</w:t>
      </w:r>
      <w:r>
        <w:br/>
      </w:r>
      <w:r>
        <w:rPr>
          <w:rFonts w:ascii="Times New Roman"/>
          <w:b w:val="false"/>
          <w:i w:val="false"/>
          <w:color w:val="000000"/>
          <w:sz w:val="28"/>
        </w:rPr>
        <w:t>
      Раздел 2.04. Проценты и прочие выплаты по займу подлежат оплате один раз в полугодие 15 марта и 15 сентября каждого года.</w:t>
      </w:r>
      <w:r>
        <w:br/>
      </w:r>
      <w:r>
        <w:rPr>
          <w:rFonts w:ascii="Times New Roman"/>
          <w:b w:val="false"/>
          <w:i w:val="false"/>
          <w:color w:val="000000"/>
          <w:sz w:val="28"/>
        </w:rPr>
        <w:t>
      Раздел 2.05. Заемщик обязуется выплатить основную сумму займа, востребованную со счета займа в соответствии с положениями Приложения 2 настоящего Соглашения о займе.</w:t>
      </w:r>
      <w:r>
        <w:br/>
      </w:r>
      <w:r>
        <w:rPr>
          <w:rFonts w:ascii="Times New Roman"/>
          <w:b w:val="false"/>
          <w:i w:val="false"/>
          <w:color w:val="000000"/>
          <w:sz w:val="28"/>
        </w:rPr>
        <w:t>
      Раздел 2.06. (а) Заемщик вправе в любое время запросить нижеследующие конвертации займа с целью оптимального рационального регулирования займа, при условии наличия соответствующих рыночных возможностей для АБР:</w:t>
      </w:r>
      <w:r>
        <w:br/>
      </w:r>
      <w:r>
        <w:rPr>
          <w:rFonts w:ascii="Times New Roman"/>
          <w:b w:val="false"/>
          <w:i w:val="false"/>
          <w:color w:val="000000"/>
          <w:sz w:val="28"/>
        </w:rPr>
        <w:t>
      (i) Изменение валюты займа полной или частичной суммы займа, востребованной или невостребованной, на утвержденную валюту;</w:t>
      </w:r>
      <w:r>
        <w:br/>
      </w:r>
      <w:r>
        <w:rPr>
          <w:rFonts w:ascii="Times New Roman"/>
          <w:b w:val="false"/>
          <w:i w:val="false"/>
          <w:color w:val="000000"/>
          <w:sz w:val="28"/>
        </w:rPr>
        <w:t>
      (ii) Изменение процентной ставки, применимой к полной или частичной сумме займа с плавающей процентной ставкой на фиксированную и наоборот; а также</w:t>
      </w:r>
      <w:r>
        <w:br/>
      </w:r>
      <w:r>
        <w:rPr>
          <w:rFonts w:ascii="Times New Roman"/>
          <w:b w:val="false"/>
          <w:i w:val="false"/>
          <w:color w:val="000000"/>
          <w:sz w:val="28"/>
        </w:rPr>
        <w:t>
      (iii) Установление лимита на плавающую процентную ставку, применимую к полной или частичной сумме займа, востребованного или невостребованного, путем установления процентного "кэпа" (фиксированного максимума процентной ставки) либо фиксированных минимума и максимума процентной ставки.</w:t>
      </w:r>
      <w:r>
        <w:br/>
      </w:r>
      <w:r>
        <w:rPr>
          <w:rFonts w:ascii="Times New Roman"/>
          <w:b w:val="false"/>
          <w:i w:val="false"/>
          <w:color w:val="000000"/>
          <w:sz w:val="28"/>
        </w:rPr>
        <w:t>
      (b) Запрос об изменениях, обусловленных в пункте (а) данной Статьи, одобренный АБР, следует считать "Конвертацией" по определению Раздела 2.01(6) Правил предоставления займа, всупающим в силу в соответствии с положениями Раздела V Правил предоставления займа и Инструкции по Конвертации.</w:t>
      </w:r>
    </w:p>
    <w:p>
      <w:pPr>
        <w:spacing w:after="0"/>
        <w:ind w:left="0"/>
        <w:jc w:val="both"/>
      </w:pPr>
      <w:r>
        <w:rPr>
          <w:rFonts w:ascii="Times New Roman"/>
          <w:b/>
          <w:i w:val="false"/>
          <w:color w:val="000080"/>
          <w:sz w:val="28"/>
        </w:rPr>
        <w:t>СТАТЬЯ III</w:t>
      </w:r>
      <w:r>
        <w:br/>
      </w:r>
      <w:r>
        <w:rPr>
          <w:rFonts w:ascii="Times New Roman"/>
          <w:b w:val="false"/>
          <w:i w:val="false"/>
          <w:color w:val="000000"/>
          <w:sz w:val="28"/>
        </w:rPr>
        <w:t>
</w:t>
      </w:r>
      <w:r>
        <w:rPr>
          <w:rFonts w:ascii="Times New Roman"/>
          <w:b/>
          <w:i w:val="false"/>
          <w:color w:val="000080"/>
          <w:sz w:val="28"/>
        </w:rPr>
        <w:t>Использование средств займа</w:t>
      </w:r>
    </w:p>
    <w:p>
      <w:pPr>
        <w:spacing w:after="0"/>
        <w:ind w:left="0"/>
        <w:jc w:val="both"/>
      </w:pPr>
      <w:r>
        <w:rPr>
          <w:rFonts w:ascii="Times New Roman"/>
          <w:b w:val="false"/>
          <w:i w:val="false"/>
          <w:color w:val="000000"/>
          <w:sz w:val="28"/>
        </w:rPr>
        <w:t>      Раздел 3.01. Заемщик обязуется использовать средства займа на финансирование расходов для Антикризисных мер в рамках Программы Поддержки в соответствии с положениями настоящего Соглашения о займе.</w:t>
      </w:r>
      <w:r>
        <w:br/>
      </w:r>
      <w:r>
        <w:rPr>
          <w:rFonts w:ascii="Times New Roman"/>
          <w:b w:val="false"/>
          <w:i w:val="false"/>
          <w:color w:val="000000"/>
          <w:sz w:val="28"/>
        </w:rPr>
        <w:t>
      Раздел 3.02. Средства займа могут быть сняты со счета займа только для целей финансирования расходов в иностранной валюте, требующих для Разрешенных позиций в рамках Программы Поддержки в соответствии с положениями Приложения 3 настоящего Соглашения о займе, при этом допустимы периодические дополнения в данном Приложении по согласию Заемщика и АБР.</w:t>
      </w:r>
      <w:r>
        <w:br/>
      </w:r>
      <w:r>
        <w:rPr>
          <w:rFonts w:ascii="Times New Roman"/>
          <w:b w:val="false"/>
          <w:i w:val="false"/>
          <w:color w:val="000000"/>
          <w:sz w:val="28"/>
        </w:rPr>
        <w:t>
      Раздел 3.03. Если АБР не указано иное, все Разрешенные позиции, финансируемые за счет Займа, должны производиться в соответствии с положениями Приложения 4 настоящего Соглашения о займе.</w:t>
      </w:r>
      <w:r>
        <w:br/>
      </w:r>
      <w:r>
        <w:rPr>
          <w:rFonts w:ascii="Times New Roman"/>
          <w:b w:val="false"/>
          <w:i w:val="false"/>
          <w:color w:val="000000"/>
          <w:sz w:val="28"/>
        </w:rPr>
        <w:t>
      Раздел 3.04. Если АБР не указано иное, снятие средств не будет производиться со счета о займе для покрытия затрат для Разрешенных позиций, произведенных более, чем сто восемьдесят (180) дней до даты вступления в силу.</w:t>
      </w:r>
      <w:r>
        <w:br/>
      </w:r>
      <w:r>
        <w:rPr>
          <w:rFonts w:ascii="Times New Roman"/>
          <w:b w:val="false"/>
          <w:i w:val="false"/>
          <w:color w:val="000000"/>
          <w:sz w:val="28"/>
        </w:rPr>
        <w:t>
      Раздел 3.05. Дата закрытия для снятия средств со счета займа для целей, изложенных в Разделе 9.02 Правил предоставления займа, считается 31 декабря 2010 года, либо другая дата, согласованная между Заемщиком и АБР.</w:t>
      </w:r>
    </w:p>
    <w:p>
      <w:pPr>
        <w:spacing w:after="0"/>
        <w:ind w:left="0"/>
        <w:jc w:val="both"/>
      </w:pPr>
      <w:r>
        <w:rPr>
          <w:rFonts w:ascii="Times New Roman"/>
          <w:b/>
          <w:i w:val="false"/>
          <w:color w:val="000080"/>
          <w:sz w:val="28"/>
        </w:rPr>
        <w:t>СТАТЬЯ IV</w:t>
      </w:r>
      <w:r>
        <w:br/>
      </w:r>
      <w:r>
        <w:rPr>
          <w:rFonts w:ascii="Times New Roman"/>
          <w:b w:val="false"/>
          <w:i w:val="false"/>
          <w:color w:val="000000"/>
          <w:sz w:val="28"/>
        </w:rPr>
        <w:t>
</w:t>
      </w:r>
      <w:r>
        <w:rPr>
          <w:rFonts w:ascii="Times New Roman"/>
          <w:b/>
          <w:i w:val="false"/>
          <w:color w:val="000080"/>
          <w:sz w:val="28"/>
        </w:rPr>
        <w:t>Особые условия</w:t>
      </w:r>
    </w:p>
    <w:p>
      <w:pPr>
        <w:spacing w:after="0"/>
        <w:ind w:left="0"/>
        <w:jc w:val="both"/>
      </w:pPr>
      <w:r>
        <w:rPr>
          <w:rFonts w:ascii="Times New Roman"/>
          <w:b w:val="false"/>
          <w:i w:val="false"/>
          <w:color w:val="000000"/>
          <w:sz w:val="28"/>
        </w:rPr>
        <w:t>      Раздел 4.01. (а) Заемщик обязуется исполнять Программу с должной ответственностью и эффективностью и в соответствии с рациональными административными, финансовыми, государственной политики, социальными и государственного управления мерами.</w:t>
      </w:r>
      <w:r>
        <w:br/>
      </w:r>
      <w:r>
        <w:rPr>
          <w:rFonts w:ascii="Times New Roman"/>
          <w:b w:val="false"/>
          <w:i w:val="false"/>
          <w:color w:val="000000"/>
          <w:sz w:val="28"/>
        </w:rPr>
        <w:t>
      (b) В процессе реализации Программы Поддержки Заемщик обязуется исполнять либо поручать исполнение всех обязательств, изложенных в Приложении 5 настоящего Соглашения о займе.</w:t>
      </w:r>
      <w:r>
        <w:br/>
      </w:r>
      <w:r>
        <w:rPr>
          <w:rFonts w:ascii="Times New Roman"/>
          <w:b w:val="false"/>
          <w:i w:val="false"/>
          <w:color w:val="000000"/>
          <w:sz w:val="28"/>
        </w:rPr>
        <w:t>
      Раздел 4.02. Заемщик обязуется незамедлительно обеспечить средства, объекты, услуги и прочие ресурсы, дополнительно к средствам Займа, необходимые для исполнения Программы Поддержки.</w:t>
      </w:r>
      <w:r>
        <w:br/>
      </w:r>
      <w:r>
        <w:rPr>
          <w:rFonts w:ascii="Times New Roman"/>
          <w:b w:val="false"/>
          <w:i w:val="false"/>
          <w:color w:val="000000"/>
          <w:sz w:val="28"/>
        </w:rPr>
        <w:t>
      Раздел 4.03. Заемщик обязуется обеспечить и координировать деятельность своих департаментов и агентств в отношении исполнения Программы в соответствии с рациональными административной политикой и процедурами.</w:t>
      </w:r>
      <w:r>
        <w:br/>
      </w:r>
      <w:r>
        <w:rPr>
          <w:rFonts w:ascii="Times New Roman"/>
          <w:b w:val="false"/>
          <w:i w:val="false"/>
          <w:color w:val="000000"/>
          <w:sz w:val="28"/>
        </w:rPr>
        <w:t>
      Раздел 4.04. (а) Заемщик обязуется обеспечить или содействует обеспечению ведения записей и документов, необходимых для определения Разрешенных позиций, финансируемых из средств займа и указания статуса реализации Программы Поддержки.</w:t>
      </w:r>
      <w:r>
        <w:br/>
      </w:r>
      <w:r>
        <w:rPr>
          <w:rFonts w:ascii="Times New Roman"/>
          <w:b w:val="false"/>
          <w:i w:val="false"/>
          <w:color w:val="000000"/>
          <w:sz w:val="28"/>
        </w:rPr>
        <w:t>
      (b) Заемщик обязуется дать возможность представителям АБР инспектировать соответствующие записи и документы, указанные в параграфе (а) данного раздела.</w:t>
      </w:r>
      <w:r>
        <w:br/>
      </w:r>
      <w:r>
        <w:rPr>
          <w:rFonts w:ascii="Times New Roman"/>
          <w:b w:val="false"/>
          <w:i w:val="false"/>
          <w:color w:val="000000"/>
          <w:sz w:val="28"/>
        </w:rPr>
        <w:t>
      Раздел 4.05. (а) Как часть отчетов и информации, указанных в Разделе 7.04 Правил предоставления займа, Заемщик предоставит или содействует предоставлению АБР ежеквартальных отчетов и другой такой информации, которую затребует АБР в отношении реализации Программы Поддержки как указано в Письме о политике.</w:t>
      </w:r>
      <w:r>
        <w:br/>
      </w:r>
      <w:r>
        <w:rPr>
          <w:rFonts w:ascii="Times New Roman"/>
          <w:b w:val="false"/>
          <w:i w:val="false"/>
          <w:color w:val="000000"/>
          <w:sz w:val="28"/>
        </w:rPr>
        <w:t>
      (b) Отчеты, подготовленные в рамках (а) выше будут использованы по окончании Программы Поддержки для подготовки полного отчета об общем воздействии Антикризисных мер Заемщика, описанных в Письме о политике.</w:t>
      </w:r>
    </w:p>
    <w:p>
      <w:pPr>
        <w:spacing w:after="0"/>
        <w:ind w:left="0"/>
        <w:jc w:val="both"/>
      </w:pPr>
      <w:r>
        <w:rPr>
          <w:rFonts w:ascii="Times New Roman"/>
          <w:b/>
          <w:i w:val="false"/>
          <w:color w:val="000080"/>
          <w:sz w:val="28"/>
        </w:rPr>
        <w:t>СТАТЬЯ V</w:t>
      </w:r>
      <w:r>
        <w:br/>
      </w:r>
      <w:r>
        <w:rPr>
          <w:rFonts w:ascii="Times New Roman"/>
          <w:b w:val="false"/>
          <w:i w:val="false"/>
          <w:color w:val="000000"/>
          <w:sz w:val="28"/>
        </w:rPr>
        <w:t>
</w:t>
      </w:r>
      <w:r>
        <w:rPr>
          <w:rFonts w:ascii="Times New Roman"/>
          <w:b/>
          <w:i w:val="false"/>
          <w:color w:val="000080"/>
          <w:sz w:val="28"/>
        </w:rPr>
        <w:t>Вступление в силу</w:t>
      </w:r>
    </w:p>
    <w:p>
      <w:pPr>
        <w:spacing w:after="0"/>
        <w:ind w:left="0"/>
        <w:jc w:val="both"/>
      </w:pPr>
      <w:r>
        <w:rPr>
          <w:rFonts w:ascii="Times New Roman"/>
          <w:b w:val="false"/>
          <w:i w:val="false"/>
          <w:color w:val="000000"/>
          <w:sz w:val="28"/>
        </w:rPr>
        <w:t>      Раздел 5.01. Дата по истечении тридцать (30) дней после заключения настоящего Соглашения о займе считается датой вступления в силу Соглашения о займе для целей, изложенных в Разделе 10.04 Правил предоставления займа.</w:t>
      </w:r>
    </w:p>
    <w:p>
      <w:pPr>
        <w:spacing w:after="0"/>
        <w:ind w:left="0"/>
        <w:jc w:val="both"/>
      </w:pPr>
      <w:r>
        <w:rPr>
          <w:rFonts w:ascii="Times New Roman"/>
          <w:b/>
          <w:i w:val="false"/>
          <w:color w:val="000080"/>
          <w:sz w:val="28"/>
        </w:rPr>
        <w:t>СТАТЬЯ VI</w:t>
      </w:r>
      <w:r>
        <w:br/>
      </w:r>
      <w:r>
        <w:rPr>
          <w:rFonts w:ascii="Times New Roman"/>
          <w:b w:val="false"/>
          <w:i w:val="false"/>
          <w:color w:val="000000"/>
          <w:sz w:val="28"/>
        </w:rPr>
        <w:t>
</w:t>
      </w:r>
      <w:r>
        <w:rPr>
          <w:rFonts w:ascii="Times New Roman"/>
          <w:b/>
          <w:i w:val="false"/>
          <w:color w:val="000080"/>
          <w:sz w:val="28"/>
        </w:rPr>
        <w:t>Прочие положения</w:t>
      </w:r>
    </w:p>
    <w:p>
      <w:pPr>
        <w:spacing w:after="0"/>
        <w:ind w:left="0"/>
        <w:jc w:val="both"/>
      </w:pPr>
      <w:r>
        <w:rPr>
          <w:rFonts w:ascii="Times New Roman"/>
          <w:b w:val="false"/>
          <w:i w:val="false"/>
          <w:color w:val="000000"/>
          <w:sz w:val="28"/>
        </w:rPr>
        <w:t>      Раздел 6.01. Министр финансов Заемщика выступает в качестве представителя Заемщика для целей, изложенных в Разделе 12.02 Правил предоставления займа.</w:t>
      </w:r>
      <w:r>
        <w:br/>
      </w:r>
      <w:r>
        <w:rPr>
          <w:rFonts w:ascii="Times New Roman"/>
          <w:b w:val="false"/>
          <w:i w:val="false"/>
          <w:color w:val="000000"/>
          <w:sz w:val="28"/>
        </w:rPr>
        <w:t>
      Раздел 6.02. Нижеследующие реквизиты указаны для целей, изложенных в Разделе 12.01 Правил предоставления займа: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Заемщик</w:t>
      </w:r>
    </w:p>
    <w:p>
      <w:pPr>
        <w:spacing w:after="0"/>
        <w:ind w:left="0"/>
        <w:jc w:val="both"/>
      </w:pPr>
      <w:r>
        <w:rPr>
          <w:rFonts w:ascii="Times New Roman"/>
          <w:b w:val="false"/>
          <w:i w:val="false"/>
          <w:color w:val="000000"/>
          <w:sz w:val="28"/>
        </w:rPr>
        <w:t>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+7(7172)7177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АБР</w:t>
      </w:r>
    </w:p>
    <w:p>
      <w:pPr>
        <w:spacing w:after="0"/>
        <w:ind w:left="0"/>
        <w:jc w:val="both"/>
      </w:pPr>
      <w:r>
        <w:rPr>
          <w:rFonts w:ascii="Times New Roman"/>
          <w:b w:val="false"/>
          <w:i w:val="false"/>
          <w:color w:val="000000"/>
          <w:sz w:val="28"/>
        </w:rPr>
        <w:t>Asian Development Bank</w:t>
      </w:r>
      <w:r>
        <w:br/>
      </w:r>
      <w:r>
        <w:rPr>
          <w:rFonts w:ascii="Times New Roman"/>
          <w:b w:val="false"/>
          <w:i w:val="false"/>
          <w:color w:val="000000"/>
          <w:sz w:val="28"/>
        </w:rPr>
        <w:t>
P.O. Box 789</w:t>
      </w:r>
      <w:r>
        <w:br/>
      </w:r>
      <w:r>
        <w:rPr>
          <w:rFonts w:ascii="Times New Roman"/>
          <w:b w:val="false"/>
          <w:i w:val="false"/>
          <w:color w:val="000000"/>
          <w:sz w:val="28"/>
        </w:rPr>
        <w:t>
0980 Manila, Philippines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636-2424.</w:t>
      </w:r>
    </w:p>
    <w:p>
      <w:pPr>
        <w:spacing w:after="0"/>
        <w:ind w:left="0"/>
        <w:jc w:val="both"/>
      </w:pPr>
      <w:r>
        <w:rPr>
          <w:rFonts w:ascii="Times New Roman"/>
          <w:b w:val="false"/>
          <w:i w:val="false"/>
          <w:color w:val="000000"/>
          <w:sz w:val="28"/>
        </w:rPr>
        <w:t>      В ПОДТВЕРЖДЕНИЕ ВЫШЕИЗЛОЖЕННОГО стороны в лице их уполномоченных представителей обеспечили подписание настоящего Соглашения о займе соответствующими подписями и его доставку в штаб-квартиру АБР в день и год, указанные выше.</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АЗИАТСКИЙ БАНК РАЗВИТИЯ</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i w:val="false"/>
          <w:color w:val="000080"/>
          <w:sz w:val="28"/>
        </w:rPr>
        <w:t>ПРИЛОЖЕНИЕ 1</w:t>
      </w:r>
      <w:r>
        <w:br/>
      </w:r>
      <w:r>
        <w:rPr>
          <w:rFonts w:ascii="Times New Roman"/>
          <w:b w:val="false"/>
          <w:i w:val="false"/>
          <w:color w:val="000000"/>
          <w:sz w:val="28"/>
        </w:rPr>
        <w:t>
</w:t>
      </w:r>
      <w:r>
        <w:rPr>
          <w:rFonts w:ascii="Times New Roman"/>
          <w:b/>
          <w:i w:val="false"/>
          <w:color w:val="000080"/>
          <w:sz w:val="28"/>
        </w:rPr>
        <w:t>Описание проекта</w:t>
      </w:r>
    </w:p>
    <w:p>
      <w:pPr>
        <w:spacing w:after="0"/>
        <w:ind w:left="0"/>
        <w:jc w:val="both"/>
      </w:pPr>
      <w:r>
        <w:rPr>
          <w:rFonts w:ascii="Times New Roman"/>
          <w:b w:val="false"/>
          <w:i w:val="false"/>
          <w:color w:val="000000"/>
          <w:sz w:val="28"/>
        </w:rPr>
        <w:t>      1. Основными целями Антикризисных мер Заемщика и Программы Поддержки являются обеспечение фискального стимула и защита задач и программ Заемщика по бюджетному расходованию и снижению бедности, а также поддержка его долгосрочных целей развития. Антикризисные меры Заемщика и Программа Поддержки детально описано в Письме о политике.</w:t>
      </w:r>
      <w:r>
        <w:br/>
      </w:r>
      <w:r>
        <w:rPr>
          <w:rFonts w:ascii="Times New Roman"/>
          <w:b w:val="false"/>
          <w:i w:val="false"/>
          <w:color w:val="000000"/>
          <w:sz w:val="28"/>
        </w:rPr>
        <w:t>
      2. Программа Поддержки, которая направлена на поддержку Антикризисных мер Заемщика, будет реализована в период с 1 января 2009 по 30 июня 2010 года.</w:t>
      </w:r>
      <w:r>
        <w:br/>
      </w:r>
      <w:r>
        <w:rPr>
          <w:rFonts w:ascii="Times New Roman"/>
          <w:b w:val="false"/>
          <w:i w:val="false"/>
          <w:color w:val="000000"/>
          <w:sz w:val="28"/>
        </w:rPr>
        <w:t>
      3. В поддержку Программы Поддержки:</w:t>
      </w:r>
      <w:r>
        <w:br/>
      </w:r>
      <w:r>
        <w:rPr>
          <w:rFonts w:ascii="Times New Roman"/>
          <w:b w:val="false"/>
          <w:i w:val="false"/>
          <w:color w:val="000000"/>
          <w:sz w:val="28"/>
        </w:rPr>
        <w:t>
      (а) средства займа будут использованы для финансирования стоимости перечня разрешенных позиций в иностранной валюте; и</w:t>
      </w:r>
      <w:r>
        <w:br/>
      </w:r>
      <w:r>
        <w:rPr>
          <w:rFonts w:ascii="Times New Roman"/>
          <w:b w:val="false"/>
          <w:i w:val="false"/>
          <w:color w:val="000000"/>
          <w:sz w:val="28"/>
        </w:rPr>
        <w:t>
      (б) Партнерское финансирование будет использовано для финансирования расходов в местной валюте, осуществляемых для реализации определенных программ и другой деятельности, направленных на достижение целей Программы Поддержки, в соответствии с положениями параграфа 1 Раздела 5 настоящего Соглашения о займе.</w:t>
      </w:r>
      <w:r>
        <w:br/>
      </w:r>
      <w:r>
        <w:rPr>
          <w:rFonts w:ascii="Times New Roman"/>
          <w:b w:val="false"/>
          <w:i w:val="false"/>
          <w:color w:val="000000"/>
          <w:sz w:val="28"/>
        </w:rPr>
        <w:t>
      4. Средства займа ожидаются быть снятыми одним траншем и использованы к 30 июня 2010 года.</w:t>
      </w:r>
    </w:p>
    <w:p>
      <w:pPr>
        <w:spacing w:after="0"/>
        <w:ind w:left="0"/>
        <w:jc w:val="both"/>
      </w:pPr>
      <w:r>
        <w:rPr>
          <w:rFonts w:ascii="Times New Roman"/>
          <w:b/>
          <w:i w:val="false"/>
          <w:color w:val="000080"/>
          <w:sz w:val="28"/>
        </w:rPr>
        <w:t>ПРИЛОЖЕНИЕ 2</w:t>
      </w:r>
      <w:r>
        <w:br/>
      </w:r>
      <w:r>
        <w:rPr>
          <w:rFonts w:ascii="Times New Roman"/>
          <w:b w:val="false"/>
          <w:i w:val="false"/>
          <w:color w:val="000000"/>
          <w:sz w:val="28"/>
        </w:rPr>
        <w:t>
</w:t>
      </w:r>
      <w:r>
        <w:rPr>
          <w:rFonts w:ascii="Times New Roman"/>
          <w:b/>
          <w:i w:val="false"/>
          <w:color w:val="000080"/>
          <w:sz w:val="28"/>
        </w:rPr>
        <w:t>График погашения займа</w:t>
      </w:r>
      <w:r>
        <w:br/>
      </w:r>
      <w:r>
        <w:rPr>
          <w:rFonts w:ascii="Times New Roman"/>
          <w:b w:val="false"/>
          <w:i w:val="false"/>
          <w:color w:val="000000"/>
          <w:sz w:val="28"/>
        </w:rPr>
        <w:t>
</w:t>
      </w:r>
      <w:r>
        <w:rPr>
          <w:rFonts w:ascii="Times New Roman"/>
          <w:b/>
          <w:i w:val="false"/>
          <w:color w:val="000080"/>
          <w:sz w:val="28"/>
        </w:rPr>
        <w:t>(Программа по Антикризисной Поддержке)</w:t>
      </w:r>
    </w:p>
    <w:p>
      <w:pPr>
        <w:spacing w:after="0"/>
        <w:ind w:left="0"/>
        <w:jc w:val="both"/>
      </w:pPr>
      <w:r>
        <w:rPr>
          <w:rFonts w:ascii="Times New Roman"/>
          <w:b w:val="false"/>
          <w:i w:val="false"/>
          <w:color w:val="000000"/>
          <w:sz w:val="28"/>
        </w:rPr>
        <w:t>      1. В нижеследующей таблице указаны Даты выплаты основной суммы займа и процент от общей основной суммы займа на каждую Дату выплаты основной суммы займа (Очередной взнос). Если средства займа были в полном объеме сняты на момент первой даты платежа в погашение основного займа, основная сумма займа, подлежащая погашению Заемщиком на каждую дату погашения основного долга, будет определена АБР путем умножения: (а) общей основной суммы займа, востребованного и невостребованного на момент первой даты платежа в погашение основного займа; на (b) Очередной взнос для каждой даты платежа в погашение основного займа, сумма погашения будет модифицирована по необходимости для вычета сумм, описанных в пункте 4 настоящего Приложения, к которым применима Конвертация.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Дата платежа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Очередной взнос</w:t>
            </w:r>
            <w:r>
              <w:br/>
            </w:r>
            <w:r>
              <w:rPr>
                <w:rFonts w:ascii="Times New Roman"/>
                <w:b w:val="false"/>
                <w:i w:val="false"/>
                <w:color w:val="000000"/>
                <w:sz w:val="20"/>
              </w:rPr>
              <w:t>
</w:t>
            </w:r>
            <w:r>
              <w:rPr>
                <w:rFonts w:ascii="Times New Roman"/>
                <w:b/>
                <w:i w:val="false"/>
                <w:color w:val="000000"/>
                <w:sz w:val="20"/>
              </w:rPr>
              <w:t>(выраженный в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сентября 2012 года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марта 2013 года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сентября 2013 года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марта 2014 года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Итого</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2. Если средства займа не были в полном объеме востребованы до первой даты платежа в погашение основного займа, основная сумма, подлежащая оплате Заемщиком, на каждую дату платежа в погашение основного займа будет определена следующим образом:</w:t>
      </w:r>
      <w:r>
        <w:br/>
      </w:r>
      <w:r>
        <w:rPr>
          <w:rFonts w:ascii="Times New Roman"/>
          <w:b w:val="false"/>
          <w:i w:val="false"/>
          <w:color w:val="000000"/>
          <w:sz w:val="28"/>
        </w:rPr>
        <w:t>
      (а) В пределах средств займа, которые следовало востребовать до первой даты платежа в погашение основного займа, Заемщик обязуется выплатить сумму, востребованную и не востребованную, на момент этой даты соответствии с пунктом 1 настоящего Приложения.</w:t>
      </w:r>
      <w:r>
        <w:br/>
      </w:r>
      <w:r>
        <w:rPr>
          <w:rFonts w:ascii="Times New Roman"/>
          <w:b w:val="false"/>
          <w:i w:val="false"/>
          <w:color w:val="000000"/>
          <w:sz w:val="28"/>
        </w:rPr>
        <w:t>
      (б) Снятие средств после первой даты платежа в погашение основного займа подлежит погашению в каждую дату платежа в погашение основного займа, после момента данного снятия в суммах, определенных АБР путем умножения суммы каждого снятия на дробь, числитель которой составляет первоначальный Очередной взнос, указанный в таблице в пункте 1 настоящего Приложения для вышеупомянутой даты платежа в погашение основного займа (Первоначальный Очередной взнос), и знаменатель которой составляет сумму всех оставшихся Первоначальных очередных взносов для дат платежей в погашение основного займа после данной даты. Данные суммы выплат будут модифицироваться при необходимости для вычета сумм, указанных в пункте 4 настоящего Приложения, к которым применима Конвертация.</w:t>
      </w:r>
      <w:r>
        <w:br/>
      </w:r>
      <w:r>
        <w:rPr>
          <w:rFonts w:ascii="Times New Roman"/>
          <w:b w:val="false"/>
          <w:i w:val="false"/>
          <w:color w:val="000000"/>
          <w:sz w:val="28"/>
        </w:rPr>
        <w:t>
      3. Снятия средств, произведенные в течение двух календарных месяцев до любой из дат платежей в погашение основного займа, исключительно в целях подсчета основных сумм, подлежащих оплате в дни основного погашения, следует считать востребованными и невостребованными на момент второй даты платежа в погашение основного займа после даты снятия, и данная сумма подлежит оплате в каждую дату платежа в погашение основного займа, начиная со второй даты после снятия средств.</w:t>
      </w:r>
      <w:r>
        <w:br/>
      </w:r>
      <w:r>
        <w:rPr>
          <w:rFonts w:ascii="Times New Roman"/>
          <w:b w:val="false"/>
          <w:i w:val="false"/>
          <w:color w:val="000000"/>
          <w:sz w:val="28"/>
        </w:rPr>
        <w:t>
      4. Вне зависимости от определенного пунктами 1 и 2 настоящего Приложения, при Конвертации валют в полном объеме или частично востребованных средств займа на утвержденную валюту, сумма средств, конвертированных на вышеупомянутую утвержденную валюту, которая подлежит погашению в любую из дат основного погашения после периода Конвертации, будет определяться АБР путем умножения данной суммы в валюте, которая имела место непосредственно перед Конвертацией на либо: (i) курс обмена валют, отражающий суммы в указанной утвержденной валюте, подлежащие выплате АБР в рамках двойной конвертации валют, относящегося к вышеупомянутой Конвертации; либо (ii) по решению АБР в соответствии с Инструкцией по Конвертации, на компонент курса обмена валют установленной ставки.</w:t>
      </w:r>
      <w:r>
        <w:br/>
      </w:r>
      <w:r>
        <w:rPr>
          <w:rFonts w:ascii="Times New Roman"/>
          <w:b w:val="false"/>
          <w:i w:val="false"/>
          <w:color w:val="000000"/>
          <w:sz w:val="28"/>
        </w:rPr>
        <w:t>
      5. Если основная сумма займа, востребованного и невостребованного, будет периодически номинирована в более чем одной валюте займа, положения настоящего Приложения должны применяться в отдельности к суммам, номинированным в каждой валюте займа, с целью разработать отдельный график погашения для каждой из этих сумм.</w:t>
      </w:r>
    </w:p>
    <w:p>
      <w:pPr>
        <w:spacing w:after="0"/>
        <w:ind w:left="0"/>
        <w:jc w:val="both"/>
      </w:pPr>
      <w:r>
        <w:rPr>
          <w:rFonts w:ascii="Times New Roman"/>
          <w:b/>
          <w:i w:val="false"/>
          <w:color w:val="000080"/>
          <w:sz w:val="28"/>
        </w:rPr>
        <w:t>ПРИЛОЖЕНИЕ 3</w:t>
      </w:r>
      <w:r>
        <w:br/>
      </w:r>
      <w:r>
        <w:rPr>
          <w:rFonts w:ascii="Times New Roman"/>
          <w:b w:val="false"/>
          <w:i w:val="false"/>
          <w:color w:val="000000"/>
          <w:sz w:val="28"/>
        </w:rPr>
        <w:t>
</w:t>
      </w:r>
      <w:r>
        <w:rPr>
          <w:rFonts w:ascii="Times New Roman"/>
          <w:b/>
          <w:i w:val="false"/>
          <w:color w:val="000080"/>
          <w:sz w:val="28"/>
        </w:rPr>
        <w:t>Снятие средств займа</w:t>
      </w:r>
    </w:p>
    <w:p>
      <w:pPr>
        <w:spacing w:after="0"/>
        <w:ind w:left="0"/>
        <w:jc w:val="both"/>
      </w:pPr>
      <w:r>
        <w:rPr>
          <w:rFonts w:ascii="Times New Roman"/>
          <w:b w:val="false"/>
          <w:i w:val="false"/>
          <w:color w:val="000000"/>
          <w:sz w:val="28"/>
        </w:rPr>
        <w:t>      1. Если АБР не согласовано иное, нижеследующие положения данного Приложения будут применяться к изъятию средств займа со счета займа.</w:t>
      </w:r>
      <w:r>
        <w:br/>
      </w:r>
      <w:r>
        <w:rPr>
          <w:rFonts w:ascii="Times New Roman"/>
          <w:b w:val="false"/>
          <w:i w:val="false"/>
          <w:color w:val="000000"/>
          <w:sz w:val="28"/>
        </w:rPr>
        <w:t>
      2. (а) Снятия со счета займа будут производиться для финансирования стоимости разрешенных товаров в иностранной валюте.</w:t>
      </w:r>
      <w:r>
        <w:br/>
      </w:r>
      <w:r>
        <w:rPr>
          <w:rFonts w:ascii="Times New Roman"/>
          <w:b w:val="false"/>
          <w:i w:val="false"/>
          <w:color w:val="000000"/>
          <w:sz w:val="28"/>
        </w:rPr>
        <w:t>
      (б) Со счета не будут производиться снятия средств для покрытия любых расходов, которые были профинансированы из займов и грантов международных и двусторонних агентствами официальной помощью или из любых других займов или грантов АБР.</w:t>
      </w:r>
      <w:r>
        <w:br/>
      </w:r>
      <w:r>
        <w:rPr>
          <w:rFonts w:ascii="Times New Roman"/>
          <w:b w:val="false"/>
          <w:i w:val="false"/>
          <w:color w:val="000000"/>
          <w:sz w:val="28"/>
        </w:rPr>
        <w:t>
      3. (а) Заявка на снятие со счета займа будет представлена Заемщиком в АБР в формате, удовлетворяющим АБР.</w:t>
      </w:r>
      <w:r>
        <w:br/>
      </w:r>
      <w:r>
        <w:rPr>
          <w:rFonts w:ascii="Times New Roman"/>
          <w:b w:val="false"/>
          <w:i w:val="false"/>
          <w:color w:val="000000"/>
          <w:sz w:val="28"/>
        </w:rPr>
        <w:t>
      (б) Такая заявка на снятие будет сопровождаться сертификатом Заемщика, подтверждающего, что (i) в случае, если средства займа будут финансировать импорт, уже осуществленного, стоимость разрешенного импорта в рассматриваемый период должна превышать сумму запрашиваемого изъятия; или (ii) в случае, если средства займа будут финансировать товары, которые будут импортироваться, стоимость разрешенного импорта за предыдущий один год должна быть равной или больше суммы запрашиваемого изъятия и плюс другие суммы, которые ожидаются быть изъятыми со счета займа во время последующего одного года.</w:t>
      </w:r>
      <w:r>
        <w:br/>
      </w:r>
      <w:r>
        <w:rPr>
          <w:rFonts w:ascii="Times New Roman"/>
          <w:b w:val="false"/>
          <w:i w:val="false"/>
          <w:color w:val="000000"/>
          <w:sz w:val="28"/>
        </w:rPr>
        <w:t>
      (в) Для целей этого параграфа, термин "Разрешенные импорты" означает общее количество импорта Заемщиком в течение соответствующего периода за минусом нижеуказанного импорта в течение того же периода:</w:t>
      </w:r>
      <w:r>
        <w:br/>
      </w:r>
      <w:r>
        <w:rPr>
          <w:rFonts w:ascii="Times New Roman"/>
          <w:b w:val="false"/>
          <w:i w:val="false"/>
          <w:color w:val="000000"/>
          <w:sz w:val="28"/>
        </w:rPr>
        <w:t>
      (i) импорт из стран, не являющихся членами АБР;</w:t>
      </w:r>
      <w:r>
        <w:br/>
      </w:r>
      <w:r>
        <w:rPr>
          <w:rFonts w:ascii="Times New Roman"/>
          <w:b w:val="false"/>
          <w:i w:val="false"/>
          <w:color w:val="000000"/>
          <w:sz w:val="28"/>
        </w:rPr>
        <w:t>
      (ii) импорт неразрешенных товаров, приведенных в Дополнении к данному Приложению; и</w:t>
      </w:r>
      <w:r>
        <w:br/>
      </w:r>
      <w:r>
        <w:rPr>
          <w:rFonts w:ascii="Times New Roman"/>
          <w:b w:val="false"/>
          <w:i w:val="false"/>
          <w:color w:val="000000"/>
          <w:sz w:val="28"/>
        </w:rPr>
        <w:t>
      (iii) импорт, финансируемый другими официальными международными и двусторонними агентствами помощи или из средств любых других займов и грантов АБР.</w:t>
      </w:r>
      <w:r>
        <w:br/>
      </w:r>
      <w:r>
        <w:rPr>
          <w:rFonts w:ascii="Times New Roman"/>
          <w:b w:val="false"/>
          <w:i w:val="false"/>
          <w:color w:val="000000"/>
          <w:sz w:val="28"/>
        </w:rPr>
        <w:t>
      (г) Заемщик разрешит экспертам, назначенными АБР проверять стоимость разрешенного импорта за любой период времени в отношении которого Заемщик определил стоимость разрешенного импорта в его заявке на снятие.</w:t>
      </w:r>
      <w:r>
        <w:br/>
      </w:r>
      <w:r>
        <w:rPr>
          <w:rFonts w:ascii="Times New Roman"/>
          <w:b w:val="false"/>
          <w:i w:val="false"/>
          <w:color w:val="000000"/>
          <w:sz w:val="28"/>
        </w:rPr>
        <w:t>
      4. (а) До подачи заявки в АБР на снятие средств со счета займа, Заемщик откроет или определит счет (депозитный счет) в Национальном банке Республики Казахстан на который все изъятия со счета займа будут депозитированы. Депозитный счет будет установлен, управляться и ликвидироваться в соответствии с положениями и условиями, удовлетворяющими АБР.</w:t>
      </w:r>
      <w:r>
        <w:br/>
      </w:r>
      <w:r>
        <w:rPr>
          <w:rFonts w:ascii="Times New Roman"/>
          <w:b w:val="false"/>
          <w:i w:val="false"/>
          <w:color w:val="000000"/>
          <w:sz w:val="28"/>
        </w:rPr>
        <w:t>
      (б) Отдельные счета и записи в отношении депозитного счета будут содержаться в соответствии с постоянно применяемыми разумными принципами бухгалтерского учета. По запросу АБР, Заемщик произведет аудит депозитного счета незаисимыми аудиторами, чьи квалификации, опыт и техническое задание будут приемлемы для АБР в соответствии с соответствующими аудиторскими стандартами. Сразу после их подготовки, но в любом случае, не более 6 месяцев после даты запроса АБР, сертифицированные копии аудированных счетов и записей будут представлены в АБР, и все на английском языке.</w:t>
      </w:r>
      <w:r>
        <w:br/>
      </w:r>
      <w:r>
        <w:rPr>
          <w:rFonts w:ascii="Times New Roman"/>
          <w:b w:val="false"/>
          <w:i w:val="false"/>
          <w:color w:val="000000"/>
          <w:sz w:val="28"/>
        </w:rPr>
        <w:t>
      (в) В течение всего периода Программы, Заемщик предоставит статистику по торговле и любую другую информацию, так как АБР необходимо будет время от времени оценивать соответствие Заемщика формуле по определению разрешенного импорта.</w:t>
      </w:r>
      <w:r>
        <w:br/>
      </w:r>
      <w:r>
        <w:rPr>
          <w:rFonts w:ascii="Times New Roman"/>
          <w:b w:val="false"/>
          <w:i w:val="false"/>
          <w:color w:val="000000"/>
          <w:sz w:val="28"/>
        </w:rPr>
        <w:t>
      (г) Заемщик даст возможность АБР, по запросу АБР, обсудить время от времени финансовые связи Заемщика в аспекте, относящихся к Программе Поддержки, с аудиторами, назначенными Заемщиком в соответствии с подпунктом 4(б) выше и наделит и запросит любого представителя таких аудиторов участвовать в любых таких обсуждениях по запросу АБР, при условии, что такое обсуждение будет проведено только в присутствии наделенного таким правом сотрудника Заемщика, если АБР не согласовано иное.</w:t>
      </w:r>
      <w:r>
        <w:br/>
      </w:r>
      <w:r>
        <w:rPr>
          <w:rFonts w:ascii="Times New Roman"/>
          <w:b w:val="false"/>
          <w:i w:val="false"/>
          <w:color w:val="000000"/>
          <w:sz w:val="28"/>
        </w:rPr>
        <w:t>
      5. Если АБР определит в любой момент времени, что (i) какая-то часть средств Займа остается неосвоенной до 31 декабря 2010 года, или (ii) какой-то платеж из средств займа не был осуществлен для разрешенных товаров или не будет доказательства, удовлетворяющего АБР, Заемщик, сразу после уведомления АБР, должен предоставить дополнительное доказательство, по запросу АБР, или вернуть АБР неосвоенную часть средств займа и суммы на неразрешенные выплаты.</w:t>
      </w:r>
    </w:p>
    <w:p>
      <w:pPr>
        <w:spacing w:after="0"/>
        <w:ind w:left="0"/>
        <w:jc w:val="both"/>
      </w:pPr>
      <w:r>
        <w:rPr>
          <w:rFonts w:ascii="Times New Roman"/>
          <w:b w:val="false"/>
          <w:i w:val="false"/>
          <w:color w:val="000000"/>
          <w:sz w:val="28"/>
          <w:u w:val="single"/>
        </w:rPr>
        <w:t>Дополнение к Приложению 3</w:t>
      </w:r>
    </w:p>
    <w:p>
      <w:pPr>
        <w:spacing w:after="0"/>
        <w:ind w:left="0"/>
        <w:jc w:val="both"/>
      </w:pPr>
      <w:r>
        <w:rPr>
          <w:rFonts w:ascii="Times New Roman"/>
          <w:b/>
          <w:i w:val="false"/>
          <w:color w:val="000080"/>
          <w:sz w:val="28"/>
        </w:rPr>
        <w:t>ПЕРЕЧЕНЬ НЕРАЗРЕШЕННЫХ К ФИНАНСИРОВАНИЮ</w:t>
      </w:r>
      <w:r>
        <w:br/>
      </w:r>
      <w:r>
        <w:rPr>
          <w:rFonts w:ascii="Times New Roman"/>
          <w:b w:val="false"/>
          <w:i w:val="false"/>
          <w:color w:val="000000"/>
          <w:sz w:val="28"/>
        </w:rPr>
        <w:t>
</w:t>
      </w:r>
      <w:r>
        <w:rPr>
          <w:rFonts w:ascii="Times New Roman"/>
          <w:b/>
          <w:i w:val="false"/>
          <w:color w:val="000080"/>
          <w:sz w:val="28"/>
        </w:rPr>
        <w:t>ПОЗИЦИЙ</w:t>
      </w:r>
    </w:p>
    <w:p>
      <w:pPr>
        <w:spacing w:after="0"/>
        <w:ind w:left="0"/>
        <w:jc w:val="both"/>
      </w:pPr>
      <w:r>
        <w:rPr>
          <w:rFonts w:ascii="Times New Roman"/>
          <w:b w:val="false"/>
          <w:i w:val="false"/>
          <w:color w:val="000000"/>
          <w:sz w:val="28"/>
        </w:rPr>
        <w:t>      Средства займа не могут быть израсходованы на:</w:t>
      </w:r>
      <w:r>
        <w:br/>
      </w:r>
      <w:r>
        <w:rPr>
          <w:rFonts w:ascii="Times New Roman"/>
          <w:b w:val="false"/>
          <w:i w:val="false"/>
          <w:color w:val="000000"/>
          <w:sz w:val="28"/>
        </w:rPr>
        <w:t>
      (i) приобретение товаров, включенных в следующие группы и подгруппы в соответствии со Стандартной классификацией международной торговли ООН, Издание 3 (СКМТ, изд. 3), или в какую-либо группу или подгруппу, предусмотренную дальнейшими изменениями в СКМТ, как это будет указано в уведомлении АБР Заемщику:</w:t>
      </w:r>
    </w:p>
    <w:p>
      <w:pPr>
        <w:spacing w:after="0"/>
        <w:ind w:left="0"/>
        <w:jc w:val="both"/>
      </w:pPr>
      <w:r>
        <w:rPr>
          <w:rFonts w:ascii="Times New Roman"/>
          <w:b/>
          <w:i w:val="false"/>
          <w:color w:val="000080"/>
          <w:sz w:val="28"/>
        </w:rPr>
        <w:t>Таблица 1: Неразрешенные товары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61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Глава</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Заголовок</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Описание</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Алкогольные напитки</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Табак, необработанный;</w:t>
            </w:r>
            <w:r>
              <w:br/>
            </w:r>
            <w:r>
              <w:rPr>
                <w:rFonts w:ascii="Times New Roman"/>
                <w:b w:val="false"/>
                <w:i w:val="false"/>
                <w:color w:val="000000"/>
                <w:sz w:val="20"/>
              </w:rPr>
              <w:t>
отходы табачного</w:t>
            </w:r>
            <w:r>
              <w:br/>
            </w:r>
            <w:r>
              <w:rPr>
                <w:rFonts w:ascii="Times New Roman"/>
                <w:b w:val="false"/>
                <w:i w:val="false"/>
                <w:color w:val="000000"/>
                <w:sz w:val="20"/>
              </w:rPr>
              <w:t>
производства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Табак, обработанный</w:t>
            </w:r>
            <w:r>
              <w:br/>
            </w:r>
            <w:r>
              <w:rPr>
                <w:rFonts w:ascii="Times New Roman"/>
                <w:b w:val="false"/>
                <w:i w:val="false"/>
                <w:color w:val="000000"/>
                <w:sz w:val="20"/>
              </w:rPr>
              <w:t>
(с содержанием</w:t>
            </w:r>
            <w:r>
              <w:br/>
            </w:r>
            <w:r>
              <w:rPr>
                <w:rFonts w:ascii="Times New Roman"/>
                <w:b w:val="false"/>
                <w:i w:val="false"/>
                <w:color w:val="000000"/>
                <w:sz w:val="20"/>
              </w:rPr>
              <w:t>
заменителей табака или</w:t>
            </w:r>
            <w:r>
              <w:br/>
            </w:r>
            <w:r>
              <w:rPr>
                <w:rFonts w:ascii="Times New Roman"/>
                <w:b w:val="false"/>
                <w:i w:val="false"/>
                <w:color w:val="000000"/>
                <w:sz w:val="20"/>
              </w:rPr>
              <w:t>
без них)</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Радиоактивные и</w:t>
            </w:r>
            <w:r>
              <w:br/>
            </w:r>
            <w:r>
              <w:rPr>
                <w:rFonts w:ascii="Times New Roman"/>
                <w:b w:val="false"/>
                <w:i w:val="false"/>
                <w:color w:val="000000"/>
                <w:sz w:val="20"/>
              </w:rPr>
              <w:t>
сопутствующие</w:t>
            </w:r>
            <w:r>
              <w:br/>
            </w:r>
            <w:r>
              <w:rPr>
                <w:rFonts w:ascii="Times New Roman"/>
                <w:b w:val="false"/>
                <w:i w:val="false"/>
                <w:color w:val="000000"/>
                <w:sz w:val="20"/>
              </w:rPr>
              <w:t>
материалы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Жемчуг, драгоценные и</w:t>
            </w:r>
            <w:r>
              <w:br/>
            </w:r>
            <w:r>
              <w:rPr>
                <w:rFonts w:ascii="Times New Roman"/>
                <w:b w:val="false"/>
                <w:i w:val="false"/>
                <w:color w:val="000000"/>
                <w:sz w:val="20"/>
              </w:rPr>
              <w:t>
полудрагоценные камни,</w:t>
            </w:r>
            <w:r>
              <w:br/>
            </w:r>
            <w:r>
              <w:rPr>
                <w:rFonts w:ascii="Times New Roman"/>
                <w:b w:val="false"/>
                <w:i w:val="false"/>
                <w:color w:val="000000"/>
                <w:sz w:val="20"/>
              </w:rPr>
              <w:t>
необработанные и</w:t>
            </w:r>
            <w:r>
              <w:br/>
            </w:r>
            <w:r>
              <w:rPr>
                <w:rFonts w:ascii="Times New Roman"/>
                <w:b w:val="false"/>
                <w:i w:val="false"/>
                <w:color w:val="000000"/>
                <w:sz w:val="20"/>
              </w:rPr>
              <w:t>
обработанные</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718.7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Ядерные реакторы и их</w:t>
            </w:r>
            <w:r>
              <w:br/>
            </w:r>
            <w:r>
              <w:rPr>
                <w:rFonts w:ascii="Times New Roman"/>
                <w:b w:val="false"/>
                <w:i w:val="false"/>
                <w:color w:val="000000"/>
                <w:sz w:val="20"/>
              </w:rPr>
              <w:t>
комплектующие,</w:t>
            </w:r>
            <w:r>
              <w:br/>
            </w:r>
            <w:r>
              <w:rPr>
                <w:rFonts w:ascii="Times New Roman"/>
                <w:b w:val="false"/>
                <w:i w:val="false"/>
                <w:color w:val="000000"/>
                <w:sz w:val="20"/>
              </w:rPr>
              <w:t>
топливные элементы</w:t>
            </w:r>
            <w:r>
              <w:br/>
            </w:r>
            <w:r>
              <w:rPr>
                <w:rFonts w:ascii="Times New Roman"/>
                <w:b w:val="false"/>
                <w:i w:val="false"/>
                <w:color w:val="000000"/>
                <w:sz w:val="20"/>
              </w:rPr>
              <w:t>
(картриджи), не</w:t>
            </w:r>
            <w:r>
              <w:br/>
            </w:r>
            <w:r>
              <w:rPr>
                <w:rFonts w:ascii="Times New Roman"/>
                <w:b w:val="false"/>
                <w:i w:val="false"/>
                <w:color w:val="000000"/>
                <w:sz w:val="20"/>
              </w:rPr>
              <w:t>
излучающие радиацию</w:t>
            </w:r>
            <w:r>
              <w:br/>
            </w:r>
            <w:r>
              <w:rPr>
                <w:rFonts w:ascii="Times New Roman"/>
                <w:b w:val="false"/>
                <w:i w:val="false"/>
                <w:color w:val="000000"/>
                <w:sz w:val="20"/>
              </w:rPr>
              <w:t>
для ядерных реакторов</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728.43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Оборудование для</w:t>
            </w:r>
            <w:r>
              <w:br/>
            </w:r>
            <w:r>
              <w:rPr>
                <w:rFonts w:ascii="Times New Roman"/>
                <w:b w:val="false"/>
                <w:i w:val="false"/>
                <w:color w:val="000000"/>
                <w:sz w:val="20"/>
              </w:rPr>
              <w:t>
переработки табака</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897.3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Драгоценные украшения</w:t>
            </w:r>
            <w:r>
              <w:br/>
            </w:r>
            <w:r>
              <w:rPr>
                <w:rFonts w:ascii="Times New Roman"/>
                <w:b w:val="false"/>
                <w:i w:val="false"/>
                <w:color w:val="000000"/>
                <w:sz w:val="20"/>
              </w:rPr>
              <w:t>
из металлов группы</w:t>
            </w:r>
            <w:r>
              <w:br/>
            </w:r>
            <w:r>
              <w:rPr>
                <w:rFonts w:ascii="Times New Roman"/>
                <w:b w:val="false"/>
                <w:i w:val="false"/>
                <w:color w:val="000000"/>
                <w:sz w:val="20"/>
              </w:rPr>
              <w:t>
золота, серебра или</w:t>
            </w:r>
            <w:r>
              <w:br/>
            </w:r>
            <w:r>
              <w:rPr>
                <w:rFonts w:ascii="Times New Roman"/>
                <w:b w:val="false"/>
                <w:i w:val="false"/>
                <w:color w:val="000000"/>
                <w:sz w:val="20"/>
              </w:rPr>
              <w:t>
платины (за</w:t>
            </w:r>
            <w:r>
              <w:br/>
            </w:r>
            <w:r>
              <w:rPr>
                <w:rFonts w:ascii="Times New Roman"/>
                <w:b w:val="false"/>
                <w:i w:val="false"/>
                <w:color w:val="000000"/>
                <w:sz w:val="20"/>
              </w:rPr>
              <w:t>
исключением часов и</w:t>
            </w:r>
            <w:r>
              <w:br/>
            </w:r>
            <w:r>
              <w:rPr>
                <w:rFonts w:ascii="Times New Roman"/>
                <w:b w:val="false"/>
                <w:i w:val="false"/>
                <w:color w:val="000000"/>
                <w:sz w:val="20"/>
              </w:rPr>
              <w:t>
часовых корпусов), а</w:t>
            </w:r>
            <w:r>
              <w:br/>
            </w:r>
            <w:r>
              <w:rPr>
                <w:rFonts w:ascii="Times New Roman"/>
                <w:b w:val="false"/>
                <w:i w:val="false"/>
                <w:color w:val="000000"/>
                <w:sz w:val="20"/>
              </w:rPr>
              <w:t>
также продукция для</w:t>
            </w:r>
            <w:r>
              <w:br/>
            </w:r>
            <w:r>
              <w:rPr>
                <w:rFonts w:ascii="Times New Roman"/>
                <w:b w:val="false"/>
                <w:i w:val="false"/>
                <w:color w:val="000000"/>
                <w:sz w:val="20"/>
              </w:rPr>
              <w:t>
ювелирного золотого и</w:t>
            </w:r>
            <w:r>
              <w:br/>
            </w:r>
            <w:r>
              <w:rPr>
                <w:rFonts w:ascii="Times New Roman"/>
                <w:b w:val="false"/>
                <w:i w:val="false"/>
                <w:color w:val="000000"/>
                <w:sz w:val="20"/>
              </w:rPr>
              <w:t>
серебряного</w:t>
            </w:r>
            <w:r>
              <w:br/>
            </w:r>
            <w:r>
              <w:rPr>
                <w:rFonts w:ascii="Times New Roman"/>
                <w:b w:val="false"/>
                <w:i w:val="false"/>
                <w:color w:val="000000"/>
                <w:sz w:val="20"/>
              </w:rPr>
              <w:t>
производства (в том</w:t>
            </w:r>
            <w:r>
              <w:br/>
            </w:r>
            <w:r>
              <w:rPr>
                <w:rFonts w:ascii="Times New Roman"/>
                <w:b w:val="false"/>
                <w:i w:val="false"/>
                <w:color w:val="000000"/>
                <w:sz w:val="20"/>
              </w:rPr>
              <w:t>
числе драгоценные</w:t>
            </w:r>
            <w:r>
              <w:br/>
            </w:r>
            <w:r>
              <w:rPr>
                <w:rFonts w:ascii="Times New Roman"/>
                <w:b w:val="false"/>
                <w:i w:val="false"/>
                <w:color w:val="000000"/>
                <w:sz w:val="20"/>
              </w:rPr>
              <w:t>
камни)</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Золото, неденежное (за</w:t>
            </w:r>
            <w:r>
              <w:br/>
            </w:r>
            <w:r>
              <w:rPr>
                <w:rFonts w:ascii="Times New Roman"/>
                <w:b w:val="false"/>
                <w:i w:val="false"/>
                <w:color w:val="000000"/>
                <w:sz w:val="20"/>
              </w:rPr>
              <w:t>
исключением золотой</w:t>
            </w:r>
            <w:r>
              <w:br/>
            </w:r>
            <w:r>
              <w:rPr>
                <w:rFonts w:ascii="Times New Roman"/>
                <w:b w:val="false"/>
                <w:i w:val="false"/>
                <w:color w:val="000000"/>
                <w:sz w:val="20"/>
              </w:rPr>
              <w:t>
руды и концентратов)</w:t>
            </w:r>
          </w:p>
        </w:tc>
      </w:tr>
    </w:tbl>
    <w:p>
      <w:pPr>
        <w:spacing w:after="0"/>
        <w:ind w:left="0"/>
        <w:jc w:val="both"/>
      </w:pPr>
      <w:r>
        <w:rPr>
          <w:rFonts w:ascii="Times New Roman"/>
          <w:b w:val="false"/>
          <w:i w:val="false"/>
          <w:color w:val="000000"/>
          <w:sz w:val="28"/>
        </w:rPr>
        <w:t>      (ii) покрытие расходов в валюте Заемщика или на товары, поставляемые с территории Заемщика;</w:t>
      </w:r>
      <w:r>
        <w:br/>
      </w:r>
      <w:r>
        <w:rPr>
          <w:rFonts w:ascii="Times New Roman"/>
          <w:b w:val="false"/>
          <w:i w:val="false"/>
          <w:color w:val="000000"/>
          <w:sz w:val="28"/>
        </w:rPr>
        <w:t>
      (iii) покрытие расходов на оплату товаров, работ и услуг, произведенных или поставленных из стран, не являющихся членами АБР;</w:t>
      </w:r>
      <w:r>
        <w:br/>
      </w:r>
      <w:r>
        <w:rPr>
          <w:rFonts w:ascii="Times New Roman"/>
          <w:b w:val="false"/>
          <w:i w:val="false"/>
          <w:color w:val="000000"/>
          <w:sz w:val="28"/>
        </w:rPr>
        <w:t>
      (iv) оплату товаров, поставленных по контракту, который профинансировала или согласилась профинансировать какая-либо национальная или международная финансовая организация или агентство, в том числе по всем контрактам, финансируемым из средств других займов или грантов АБР;</w:t>
      </w:r>
      <w:r>
        <w:br/>
      </w:r>
      <w:r>
        <w:rPr>
          <w:rFonts w:ascii="Times New Roman"/>
          <w:b w:val="false"/>
          <w:i w:val="false"/>
          <w:color w:val="000000"/>
          <w:sz w:val="28"/>
        </w:rPr>
        <w:t>
      (v) оплату товаров, планируемых к использованию в военных или провоенных целях или предметов роскоши;</w:t>
      </w:r>
      <w:r>
        <w:br/>
      </w:r>
      <w:r>
        <w:rPr>
          <w:rFonts w:ascii="Times New Roman"/>
          <w:b w:val="false"/>
          <w:i w:val="false"/>
          <w:color w:val="000000"/>
          <w:sz w:val="28"/>
        </w:rPr>
        <w:t>
      (vi) оплату наркотиков;</w:t>
      </w:r>
      <w:r>
        <w:br/>
      </w:r>
      <w:r>
        <w:rPr>
          <w:rFonts w:ascii="Times New Roman"/>
          <w:b w:val="false"/>
          <w:i w:val="false"/>
          <w:color w:val="000000"/>
          <w:sz w:val="28"/>
        </w:rPr>
        <w:t>
      (vii) оплату экологически опасных товаров, производство, использование или импорт которых запрещен законодательством Заемщика или международными договорами, в которых Заемщик является подписавшей стороной; и</w:t>
      </w:r>
      <w:r>
        <w:br/>
      </w:r>
      <w:r>
        <w:rPr>
          <w:rFonts w:ascii="Times New Roman"/>
          <w:b w:val="false"/>
          <w:i w:val="false"/>
          <w:color w:val="000000"/>
          <w:sz w:val="28"/>
        </w:rPr>
        <w:t>
      (viii) оплату в счет каких-либо платежей, запрещенных Заемщиком в соответствии с решением Совета безопасности Организации объединенных наций, принятого в соответствии с Главой VII Устава Организации объединенных наций.</w:t>
      </w:r>
    </w:p>
    <w:p>
      <w:pPr>
        <w:spacing w:after="0"/>
        <w:ind w:left="0"/>
        <w:jc w:val="both"/>
      </w:pPr>
      <w:r>
        <w:rPr>
          <w:rFonts w:ascii="Times New Roman"/>
          <w:b/>
          <w:i w:val="false"/>
          <w:color w:val="000080"/>
          <w:sz w:val="28"/>
        </w:rPr>
        <w:t>ПРИЛОЖЕНИЕ 4</w:t>
      </w:r>
      <w:r>
        <w:br/>
      </w:r>
      <w:r>
        <w:rPr>
          <w:rFonts w:ascii="Times New Roman"/>
          <w:b w:val="false"/>
          <w:i w:val="false"/>
          <w:color w:val="000000"/>
          <w:sz w:val="28"/>
        </w:rPr>
        <w:t>
</w:t>
      </w:r>
      <w:r>
        <w:rPr>
          <w:rFonts w:ascii="Times New Roman"/>
          <w:b/>
          <w:i w:val="false"/>
          <w:color w:val="000080"/>
          <w:sz w:val="28"/>
        </w:rPr>
        <w:t>Закупки</w:t>
      </w:r>
    </w:p>
    <w:p>
      <w:pPr>
        <w:spacing w:after="0"/>
        <w:ind w:left="0"/>
        <w:jc w:val="both"/>
      </w:pPr>
      <w:r>
        <w:rPr>
          <w:rFonts w:ascii="Times New Roman"/>
          <w:b w:val="false"/>
          <w:i w:val="false"/>
          <w:color w:val="000000"/>
          <w:sz w:val="28"/>
        </w:rPr>
        <w:t>      1. Если АБР не согласовано иное, процедуры, приведенные в нижеследующем параграфе данного Приложения будут применяться в закупках разрешенных товаров, финансируемых из средств займа.</w:t>
      </w:r>
      <w:r>
        <w:br/>
      </w:r>
      <w:r>
        <w:rPr>
          <w:rFonts w:ascii="Times New Roman"/>
          <w:b w:val="false"/>
          <w:i w:val="false"/>
          <w:color w:val="000000"/>
          <w:sz w:val="28"/>
        </w:rPr>
        <w:t>
      2. (а) За исключением случаев, приведенных в параграфе 2(б) ниже, каждый контракт для разрешенных товаров будет присуждаться на основе обычных коммерческих правил закупок покупателя в случае закупки частным сектором, или установленных процедур закупок Заемщика в случае закупки государственным сектором, с соответствующим подходом экономии и эффективности.</w:t>
      </w:r>
      <w:r>
        <w:br/>
      </w:r>
      <w:r>
        <w:rPr>
          <w:rFonts w:ascii="Times New Roman"/>
          <w:b w:val="false"/>
          <w:i w:val="false"/>
          <w:color w:val="000000"/>
          <w:sz w:val="28"/>
        </w:rPr>
        <w:t>
      (б) Каждый контракт по поставке разрешенных товаров, которые являются общими торгующими товарами, будет присуждаться на основе процедур приемлемых к торговле и удовлетворяющих АБР.</w:t>
      </w:r>
    </w:p>
    <w:p>
      <w:pPr>
        <w:spacing w:after="0"/>
        <w:ind w:left="0"/>
        <w:jc w:val="both"/>
      </w:pPr>
      <w:r>
        <w:rPr>
          <w:rFonts w:ascii="Times New Roman"/>
          <w:b/>
          <w:i w:val="false"/>
          <w:color w:val="000080"/>
          <w:sz w:val="28"/>
        </w:rPr>
        <w:t>ПРИЛОЖЕНИЕ 5</w:t>
      </w:r>
      <w:r>
        <w:br/>
      </w:r>
      <w:r>
        <w:rPr>
          <w:rFonts w:ascii="Times New Roman"/>
          <w:b w:val="false"/>
          <w:i w:val="false"/>
          <w:color w:val="000000"/>
          <w:sz w:val="28"/>
        </w:rPr>
        <w:t>
</w:t>
      </w:r>
      <w:r>
        <w:rPr>
          <w:rFonts w:ascii="Times New Roman"/>
          <w:b/>
          <w:i w:val="false"/>
          <w:color w:val="000080"/>
          <w:sz w:val="28"/>
        </w:rPr>
        <w:t>Реализация Программы Поддержки и Другие вопросы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Партнерское финансирование</w:t>
      </w:r>
      <w:r>
        <w:br/>
      </w:r>
      <w:r>
        <w:rPr>
          <w:rFonts w:ascii="Times New Roman"/>
          <w:b w:val="false"/>
          <w:i w:val="false"/>
          <w:color w:val="000000"/>
          <w:sz w:val="28"/>
        </w:rPr>
        <w:t>
      1. Заемщик гарантирует, чтобы партнерское финансирование было использовано для финансирования расходов в местной валюте для реализации Программы Поддержки и другой деятельности в соответствии с целями антикризисных мер Заемщика.</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Управление Программы Поддержки</w:t>
      </w:r>
      <w:r>
        <w:br/>
      </w:r>
      <w:r>
        <w:rPr>
          <w:rFonts w:ascii="Times New Roman"/>
          <w:b w:val="false"/>
          <w:i w:val="false"/>
          <w:color w:val="000000"/>
          <w:sz w:val="28"/>
        </w:rPr>
        <w:t>
      2. Министерство финансов (МФ) будет исполнительным агентством Программы, ответственным за реализацию мероприятий Программы Поддержки, отчетность перед АБР, администрирование и освоение средств партнерского финансирования, мониторинг бюджетного исполнения и ведения счетов.</w:t>
      </w:r>
      <w:r>
        <w:br/>
      </w:r>
      <w:r>
        <w:rPr>
          <w:rFonts w:ascii="Times New Roman"/>
          <w:b w:val="false"/>
          <w:i w:val="false"/>
          <w:color w:val="000000"/>
          <w:sz w:val="28"/>
        </w:rPr>
        <w:t>
      3. Заемщик обязуется обеспечить эффективную координацию между Министерством экономики и бюджетного планирования (МЭБП), Министерством труда и социальной защиты населения (МТСЗН) и другими государственными органами. АБР и другие партнеры по развитию могут быть приглашены для участия в совещаниях между министерствами в роли наблюдателя.</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Политическое обсуждение</w:t>
      </w:r>
      <w:r>
        <w:br/>
      </w:r>
      <w:r>
        <w:rPr>
          <w:rFonts w:ascii="Times New Roman"/>
          <w:b w:val="false"/>
          <w:i w:val="false"/>
          <w:color w:val="000000"/>
          <w:sz w:val="28"/>
        </w:rPr>
        <w:t>
      4. Заемщик будет:</w:t>
      </w:r>
      <w:r>
        <w:br/>
      </w:r>
      <w:r>
        <w:rPr>
          <w:rFonts w:ascii="Times New Roman"/>
          <w:b w:val="false"/>
          <w:i w:val="false"/>
          <w:color w:val="000000"/>
          <w:sz w:val="28"/>
        </w:rPr>
        <w:t>
      (а) уведомлять АБР, и Заемщик и АБР будут время от времени обмениваться взглядами по вопросам отраслей экономики, политики реформ и дополнительных реформ в течение периода реализации Программы, которые могут быть необходимыми или рекомендованными в рамках антикризисных мер Заемщика, включая статус реализации мер, описанных в Письме о политике.</w:t>
      </w:r>
      <w:r>
        <w:br/>
      </w:r>
      <w:r>
        <w:rPr>
          <w:rFonts w:ascii="Times New Roman"/>
          <w:b w:val="false"/>
          <w:i w:val="false"/>
          <w:color w:val="000000"/>
          <w:sz w:val="28"/>
        </w:rPr>
        <w:t>
      (б) немедленно обсуждать с АБР проблемы и ограничения, появившиеся во время реализации антикризисных мер Заемщика, включая Программу Поддержки и необходимые меры по решению или смягчению таких проблем и ограничений; и</w:t>
      </w:r>
      <w:r>
        <w:br/>
      </w:r>
      <w:r>
        <w:rPr>
          <w:rFonts w:ascii="Times New Roman"/>
          <w:b w:val="false"/>
          <w:i w:val="false"/>
          <w:color w:val="000000"/>
          <w:sz w:val="28"/>
        </w:rPr>
        <w:t>
      (в) информировать АБР о политике обсуждений с другими международными или двустронними агентствами, которые имеют последствия для реализации антикризисных мер Заемщика, включая Программу Поддержки и даст возможность АБР прокомментировать по любым предложениям политики. Заемщик примет во внимание взгляды АБР, перед тем как принять и реализовать любое такое предложение.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Борьба с коррупцией и управление</w:t>
      </w:r>
      <w:r>
        <w:br/>
      </w:r>
      <w:r>
        <w:rPr>
          <w:rFonts w:ascii="Times New Roman"/>
          <w:b w:val="false"/>
          <w:i w:val="false"/>
          <w:color w:val="000000"/>
          <w:sz w:val="28"/>
        </w:rPr>
        <w:t xml:space="preserve">
      5. Заемщик обязуется соблюдать </w:t>
      </w:r>
      <w:r>
        <w:rPr>
          <w:rFonts w:ascii="Times New Roman"/>
          <w:b w:val="false"/>
          <w:i/>
          <w:color w:val="000000"/>
          <w:sz w:val="28"/>
        </w:rPr>
        <w:t>Антикоррупционную Политику</w:t>
      </w:r>
      <w:r>
        <w:rPr>
          <w:rFonts w:ascii="Times New Roman"/>
          <w:b w:val="false"/>
          <w:i w:val="false"/>
          <w:color w:val="000000"/>
          <w:sz w:val="28"/>
        </w:rPr>
        <w:t xml:space="preserve"> АБР (1998 года, с изменениями на настоящее время). Заемщик, в соответствии с его обязательствами по соблюдению хорошего управления, подотчетности и прозрачности, соглашается (а) что АБР сохраняет право расследовать, напрямую или через своих агентов, любой факт коррупции, мошенничества, тайного сговора и принуждения в отношении Программы Поддержки и (б) сотрудничать вплотную с любым таким расследованием и оказать все необходимое содействие.</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и Оценка</w:t>
      </w:r>
      <w:r>
        <w:br/>
      </w:r>
      <w:r>
        <w:rPr>
          <w:rFonts w:ascii="Times New Roman"/>
          <w:b w:val="false"/>
          <w:i w:val="false"/>
          <w:color w:val="000000"/>
          <w:sz w:val="28"/>
        </w:rPr>
        <w:t>
      6. Заемщик гарантирует, что отчетность по статусу реализации Антикризисных мер Заемщика во время периода реализации Программы, производилась путем проведения периодических совещаний соответствующими органами Заемщика. В частности, Заемщик обеспечивает предоставление в АБР ежеквартальных отчетов о состоянии макроэкономического и финансового секторов, отчетов о реализации Антикризисных мер и отчетов об исполнении республиканского бюджета, подготовленных совместно МФ, МЭБП и МТСЗ. МФ через Комитет по финансовому контролю обеспечивает контроль за расходами средств, выделяемых из республиканского бюджета на поддержание Антикризисных мер. Заемщик работает с АБР и консультантами, нанятыми АБР для мониторинга Антикризисных мер, финансируемых из средств бюджета. Министерство финансов, если будет необходимо, будет проводить консультативные встречи с частным сектором и партнерами по развитию для получения их мнений по новым правилам и их влияние на реализацию Антикризисных мер Заемщика, включая Программу Поддержки.</w:t>
      </w:r>
      <w:r>
        <w:br/>
      </w:r>
      <w:r>
        <w:rPr>
          <w:rFonts w:ascii="Times New Roman"/>
          <w:b w:val="false"/>
          <w:i w:val="false"/>
          <w:color w:val="000000"/>
          <w:sz w:val="28"/>
        </w:rPr>
        <w:t>
      7. Министерство финансов и Министерство экономики и бюджетного планирования и АБР совместно будут проводить (ежеквартальные) обзоры макроэкономического и фискального состояния экономики Заемщика и оценивать влияние и изучать выгоды от мероприятий в рамках Антикризисных мер Заемщика для реальной экономики и социального сектора, в соответствии с Системой по Управлению Исполнением Программы. МФ совместно с МЭБП будет ответственным за сбор всех данных мониторинга и оценки выгод от антикризисных мер Заемщика. В течение пяти месяцев после периода реализации Программы, Заемщик обязуется предоставить завершающий отчет в АБР, в котором будет оценена степень прогресса и влияние мер в рамках антикризисных мер Заемщика, включая Программу Поддержки.</w:t>
      </w:r>
    </w:p>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между Республикой Казахстан и Азиатским Банком Развития в рамках Антикризисной программы поддержки стран-членов Азиатского Банка Развития на английском языке, подписанного в городе Астана 14 сентября 2009 года.</w:t>
      </w:r>
    </w:p>
    <w:p>
      <w:pPr>
        <w:spacing w:after="0"/>
        <w:ind w:left="0"/>
        <w:jc w:val="both"/>
      </w:pPr>
      <w:r>
        <w:rPr>
          <w:rFonts w:ascii="Times New Roman"/>
          <w:b w:val="false"/>
          <w:i w:val="false"/>
          <w:color w:val="000000"/>
          <w:sz w:val="28"/>
        </w:rPr>
        <w:t>      </w:t>
      </w:r>
      <w:r>
        <w:rPr>
          <w:rFonts w:ascii="Times New Roman"/>
          <w:b w:val="false"/>
          <w:i/>
          <w:color w:val="000000"/>
          <w:sz w:val="28"/>
        </w:rPr>
        <w:t>Начальник Управления</w:t>
      </w:r>
      <w:r>
        <w:br/>
      </w:r>
      <w:r>
        <w:rPr>
          <w:rFonts w:ascii="Times New Roman"/>
          <w:b w:val="false"/>
          <w:i w:val="false"/>
          <w:color w:val="000000"/>
          <w:sz w:val="28"/>
        </w:rPr>
        <w:t>
</w:t>
      </w:r>
      <w:r>
        <w:rPr>
          <w:rFonts w:ascii="Times New Roman"/>
          <w:b w:val="false"/>
          <w:i/>
          <w:color w:val="000000"/>
          <w:sz w:val="28"/>
        </w:rPr>
        <w:t>      Департамента кадрового</w:t>
      </w:r>
      <w:r>
        <w:br/>
      </w:r>
      <w:r>
        <w:rPr>
          <w:rFonts w:ascii="Times New Roman"/>
          <w:b w:val="false"/>
          <w:i w:val="false"/>
          <w:color w:val="000000"/>
          <w:sz w:val="28"/>
        </w:rPr>
        <w:t>
</w:t>
      </w:r>
      <w:r>
        <w:rPr>
          <w:rFonts w:ascii="Times New Roman"/>
          <w:b w:val="false"/>
          <w:i/>
          <w:color w:val="000000"/>
          <w:sz w:val="28"/>
        </w:rPr>
        <w:t>      обеспечения и документооборота</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rPr>
          <w:rFonts w:ascii="Times New Roman"/>
          <w:b w:val="false"/>
          <w:i w:val="false"/>
          <w:color w:val="000000"/>
          <w:sz w:val="28"/>
        </w:rPr>
        <w:t>                       </w:t>
      </w:r>
      <w:r>
        <w:rPr>
          <w:rFonts w:ascii="Times New Roman"/>
          <w:b w:val="false"/>
          <w:i/>
          <w:color w:val="000000"/>
          <w:sz w:val="28"/>
        </w:rPr>
        <w:t>Н. Шабанов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