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07c7" w14:textId="4e50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Мажилиса Парламента Республики Казахстан проект Закона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и дополнений 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/>
          <w:i w:val="false"/>
          <w:color w:val="000080"/>
          <w:sz w:val="28"/>
        </w:rPr>
        <w:t>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(Ведомости Парламента Республики Казахстан, 1998 г., № 2-3, ст.25; 2001 г., № 20, ст.258; 2002 г., № 5, ст.50; 2004 г., № 5, ст.29; № 13, ст.74; 2005 г., № 17-18, ст.73; 2006 г., № 3, ст.22; № 24, ст.148; 2007 г., № 2, ст.18; № 12, ст.86; № 13, ст.100; № 19, ст.147; 2008 г., № 13-14, ст.55; № 21, ст.97; 2009 г., № 15-16; ст.74; № 18, ст.84;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2009 года "О внесении изменения в Закон Республики Казахстан "О нормативных правовых актах" по вопросам проведения научной антикоррупционной экспертизы", опубликованный в газетах "Егемен Қазақстан" и "Казахстанская правда" 20 октября 2009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статью 1 дополнить подпунктом 16)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"16) юридическая техника - совокупность способов, требований и правил оформления нормативных правовых актов.";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 слова ", в том числе включающих в себя нормы права"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3) пункта 4 слово "стандарты" заменить словом "нормы.";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"Нормативные акты, содержащие технические и технологические нормы, не должны содержать нормы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2) пункта 3 статьи 3 слова "или его структурного </w:t>
      </w:r>
      <w:r>
        <w:rPr>
          <w:rFonts w:ascii="Times New Roman"/>
          <w:b w:val="false"/>
          <w:i w:val="false"/>
          <w:color w:val="000000"/>
          <w:sz w:val="28"/>
        </w:rPr>
        <w:t>подразделения"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статью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в статье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части четвертой пункта 3 слова "оформления 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"в другие нормативные правовые акты," заменить словами "нормативные правовые акты, одного уровня, 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слова "или дано поручение соответствующим органам о подготовке таких актов"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"Если для обеспечения действия норм готовящегося проекта законодательного акта Республики Казахстан нормативного правового указа Президента Республики Казахстан, нормативного правового постановления Правительства Республики Казахстан необходимо внесение изменений и дополнений в нормативные правовые акты нижестоящего уровня, одновременно с проектом основного акта должны быть подготовлены проекты актов с указанными изменениями и дополнениями или дано поручение соответствующим органам о подготовке таких актов.";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"8. Разработанные проекты законов одновременно с направлением на согласование в заинтересованные государственные органы опубликовываются (распространяются) на web-сайте уполномоченного органа, с обеспечением обсуждения положений проектов законов с общественными объединениями, неправительственными организациями и широкими слоями населения. Соответствующая информация должна обновляться по мере прохождения проектов законов вплоть до его принятия Парламентом".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пункт 1 статьи 15 дополнить предложением третьим следующего</w:t>
      </w: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"Если для обеспечения действия Закона Республики Казахстан необходимо принятие подзаконного нормативного правового акта (если такая необходимость отсутствует, то это указывается в сопроводительном письме) к проекту основного акта прикладываются проекты подзаконных нормативных правовых актов, необходимые для его реализации. В случае, если разработка проекта подзаконного нормативного правового акта относится к компетенции другого государственного органа, то государственным органом - разработчиком проекта Закона запрашивается соответствующий проект подзаконного акта и представляется одновременно.";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статью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"Статья 17. Оформление проектов нормативных правовых актов Проекты нормативных правовых актов оформляются в соответствии с Правилами по оформлению проектов нормативных правовых актов (юридическая техника), изложенной в Приложении к настоящему Закону.";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заголовке слова "и стилю изложения текста"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статьи 19, 20, 27 и 28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10) подпункт 6) пункта 2 статьи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11) дополнить статьей 29-1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"Статья 29-1. Правопреемство в отношении принятых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реорганизации государственного органа, наделенного правом принимать нормативные правовые акты, к правопреемнику в пределах его компетенции вместе с правом принимать нормативные правовые акты переходят полномочия по изменению и прекращению действия ранее принятых нормативных правовых актов.";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12) в пункте 1 статьи 43-1 слова "и устаревших"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, устаревших и коррупциогенных";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13) дополнить приложением согласно приложению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24 марта 1998 года № 213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Юридическая техника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Юридическая техника устанавливает требования по оформлению кодексов, законов вносящих изменения и дополнения в Конституцию Республики Казахстан, законов, указов Президента Республики Казахстан, имеющих силу конституционного закона; указов Президента Республики Казахстан, имеющих силу закона; иных нормативных правовых указов Президента Республики Казахстан; постановлений Парламента Республики Казахстан и его палат; постановлений Правительства Республики Казахстан; постановлений Конституционного Совета, Верховного Суда Республики Казахстан и Центральной избирательной комиссии Республики Казахстан; приказов министров Республики Казахстан и иных руководителей центральных государственных органов; постановлений центральных государственных органов; решений маслихатов, постановлений акиматов, решений акимов (далее - акты).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Все акты в обязательном порядке должны иметь следующие реквизиты: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Государственный герб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указание на форму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заголовок, обозначающий предмет регулирования данного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место и дату принятия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регистрационный номер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подписи лица или лиц уполномоченных подписывать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гербовую печать.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Составные части акта: части, разделы, подразделы, главы, статьи, пункты, подпункты и абзацы.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Основным структурным элементом акта является статья или пункт, содержащие в себе нормы права. В виде статей с наименованием "статья" нормы права включаются в законодательные акты. Иные акты состоят из пунктов, без их наименования словом "пункт".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Близкие по содержанию статьи (пункты) значительных по объему актов могут объединяться в главы. Несколько глав, близких по содержанию, могут объединяться в разделы, а разделы - в части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В больших по объему разделах могут выделяться подразделы.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Статьи акта могут подразделяться на пункты, содержащие отдельные нормы права, а пункты на подпункты. Внутри статей, пунктов и подпунктов могут быть части - логически законченные отдельные нормы права, выделяемые абзацами. Части начинаются с заглавной буквы и заканчиваются точкой.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Абзацем считается часть текста, представляющая собой смысловое единство, выделяемая отступом в первой строке и начинающаяся со строчной буквы, кроме первого абзаца части, который начинается с заглавной буквы. Абзацы заканчиваются точкой с запятой (кроме первого и последнего абзацев части).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Каждая статья (пункт), а также части, разделы, подразделы, главы акта нумеруются арабскими цифрами. Нумерация статей (пунктов) является сквозной для всего акта. Самостоятельной и сквозной является также нумерация подпунктов, частей, разделов и глав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Нумерация пунктов и подпунктов статьи самостоятельна для каждой статьи, а в актах, в которых основным структурным элементом является не статья, а пункт, самостоятельна нумерация подпунктов каждого пункта. Самостоятельной, а не сквозной, является также нумерация подразделов в каждом разделе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Номера подпунктов в пунктах статьи обозначаются арабскими</w:t>
      </w:r>
      <w:r>
        <w:rPr>
          <w:rFonts w:ascii="Times New Roman"/>
          <w:b w:val="false"/>
          <w:i w:val="false"/>
          <w:color w:val="000000"/>
          <w:sz w:val="28"/>
        </w:rPr>
        <w:t>цифрами со скобкой следующим образом: 1), 2), 3) и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актах, состоящих из одного пункта, нумерация пунктов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статье, состоящей из одного пункта, нумерация пункта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11. В случаях, когда необходимо разъяснить цели и мотивы принятия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акта, основные задачи, которые перед ним стоят, изложению норм права </w:t>
      </w:r>
      <w:r>
        <w:rPr>
          <w:rFonts w:ascii="Times New Roman"/>
          <w:b w:val="false"/>
          <w:i w:val="false"/>
          <w:color w:val="000000"/>
          <w:sz w:val="28"/>
        </w:rPr>
        <w:t>предшествует вступительная часть (преамбула).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12. При необходимости уточнения терминов и определений, используемых в акте, в нем помещается статья (пункт), разъясняющая их смысл. В акте на государственном языке термины и определения располагаются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алфавитном порядке. Термины в акте на русском языке должны </w:t>
      </w:r>
      <w:r>
        <w:rPr>
          <w:rFonts w:ascii="Times New Roman"/>
          <w:b w:val="false"/>
          <w:i w:val="false"/>
          <w:color w:val="000000"/>
          <w:sz w:val="28"/>
        </w:rPr>
        <w:t>соответствовать порядку изложенном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Термины и определения, используемые в акте, должны соответствовать терминам и определениям, применяемым в вышестоящем акте, регулирующем однородные общественные отношения.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13. В целях удобства пользования каждая глава акта, его раздел, часть, 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также подразделы разделов должны иметь заголовки. Заголовки должны иметь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статьи законодательных актов, за исключением законодательных актов, </w:t>
      </w:r>
      <w:r>
        <w:rPr>
          <w:rFonts w:ascii="Times New Roman"/>
          <w:b w:val="false"/>
          <w:i w:val="false"/>
          <w:color w:val="000000"/>
          <w:sz w:val="28"/>
        </w:rPr>
        <w:t>вносящих изменения и (или)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Заголовки разделов, подразделов, глав актов отделяются от предыдущего текста двумя межстрочными интервалами, а от последующего текста - одним.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Необходимым структурным элементом кодексов является оглавление.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В структуру акта могут включаться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Тексты актов должны быть четко сформулированы и напечатаны</w:t>
      </w:r>
      <w:r>
        <w:rPr>
          <w:rFonts w:ascii="Times New Roman"/>
          <w:b w:val="false"/>
          <w:i w:val="false"/>
          <w:color w:val="000000"/>
          <w:sz w:val="28"/>
        </w:rPr>
        <w:t>единым шрифтом, без помарок и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17. Текст акта излагается с соблюдением норм литературного языка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юридической терминологии, его положения должны быть предельно краткими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содержать четкий и не подлежащий различному толкованию смысл. 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употребление устаревших и многозначных слов и выражений,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эпитетов, метафор, сокращений слов. Содержание (норма) пункта не излагается </w:t>
      </w:r>
      <w:r>
        <w:rPr>
          <w:rFonts w:ascii="Times New Roman"/>
          <w:b w:val="false"/>
          <w:i w:val="false"/>
          <w:color w:val="000000"/>
          <w:sz w:val="28"/>
        </w:rPr>
        <w:t>повторно в других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Текст акта не должен содержать положения декларативного характера, не несущие смысловой и правовой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19. Поручения в актах должны адресоваться государственным органам </w:t>
      </w:r>
      <w:r>
        <w:rPr>
          <w:rFonts w:ascii="Times New Roman"/>
          <w:b w:val="false"/>
          <w:i w:val="false"/>
          <w:color w:val="000000"/>
          <w:sz w:val="28"/>
        </w:rPr>
        <w:t>либо, при необходимости, их руководителям.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отношению к государственным органам, не подчиненным лицу, дающему поручение, поручения в актах должны излагаться в рекомендательной форме либо по согласованию с ними. В последнем случае после наименования государственного органа указывается "(по согласованию)".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20. В тексте актов наименования государственных органов и иных организаций излагаются полностью в соответствии с официальным названием и </w:t>
      </w:r>
      <w:r>
        <w:rPr>
          <w:rFonts w:ascii="Times New Roman"/>
          <w:b w:val="false"/>
          <w:i w:val="false"/>
          <w:color w:val="000000"/>
          <w:sz w:val="28"/>
        </w:rPr>
        <w:t>единообразно по всему тексту.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Сокращение наименований организаций допускается для целей обеспечения простоты и лаконичности текста с расшифровкой значения сокращения либо аббревиатуры в самом тексте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21. В тексте актов не допускаются обозначение абзацев дефисами или </w:t>
      </w:r>
      <w:r>
        <w:rPr>
          <w:rFonts w:ascii="Times New Roman"/>
          <w:b w:val="false"/>
          <w:i w:val="false"/>
          <w:color w:val="000000"/>
          <w:sz w:val="28"/>
        </w:rPr>
        <w:t>иными знаками, а также выделение и подчеркивание отдельных слов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словосочетаний, кроме заголовка акта, названий глав, разделов, подразделов,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"ПОСТАНОВЛЯЕТ", "ПРИКАЗЫВАЮ (ПРИКАЗЫВАЕМ)" должности,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инициала имени и фамилии подписывающего лица, которые пишутся </w:t>
      </w:r>
      <w:r>
        <w:rPr>
          <w:rFonts w:ascii="Times New Roman"/>
          <w:b w:val="false"/>
          <w:i w:val="false"/>
          <w:color w:val="000000"/>
          <w:sz w:val="28"/>
        </w:rPr>
        <w:t>выделенными буквами (жирным шрифтом).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Слово "ПОСТАНОВЛЯЕТ" пишется прописными буквами, не допускается разрывать его переносом на другую строку.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Проекты актов, в том числе секретного характера,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оформляться на бланках установленного образца, с учетом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параметров (с применением текстового редактора "WORD for WINDOWS"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версии от 6.0 и выше):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поля слева - 2,5 см, поля справа - 1,5 см, колонтитулы - 2,5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шрифт - "TimesNewRoman" размером № 14 (в приложениях может быть использован шрифт меньшей размерности, но не менее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межстрочный интервал - одинарный;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абзацный отступ (отступ первой строки) - 1,25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интервал между заголовком и текстом, текстом и подписью - 2 межстрочных интервала.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23. Страницы актов и приложений к ним должны быть пронумерованы,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для каждого приложения должна быть отдельная нумерация страниц </w:t>
      </w:r>
      <w:r>
        <w:rPr>
          <w:rFonts w:ascii="Times New Roman"/>
          <w:b w:val="false"/>
          <w:i w:val="false"/>
          <w:color w:val="000000"/>
          <w:sz w:val="28"/>
        </w:rPr>
        <w:t xml:space="preserve">(нумерация страниц производится вверху по центру страницы, первая страница </w:t>
      </w:r>
      <w:r>
        <w:rPr>
          <w:rFonts w:ascii="Times New Roman"/>
          <w:b w:val="false"/>
          <w:i w:val="false"/>
          <w:color w:val="000000"/>
          <w:sz w:val="28"/>
        </w:rPr>
        <w:t>не нумеруется).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 В случае если актом утверждается персональный состав комиссии, рабочей группы или иного временного органа, а также правительственной делегации, то фамилии, имена, отчества и должности лиц, участвующих в их работе, приводятся полностью. При этом вначале приводятся данные руководства комиссии (рабочей группы, иного временного органа, делегации) - руководителя, его заместителя (заместителей) и секретаря, после чего указываются данные их членов, располагаемых в соответствии с протокольным старшинством и уровнями должностей государственного управления, а внутри одного уровня должностей - в алфавитном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При необходимости в актах могут быть приведены ссылки на статьи (пункты) актов вышестоящих уровней, а также воспроизведены отдельные положения из норм актов вышестоящих уровней со ссылкой на такие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Ссылки в статьях (пунктах и подпунктах) акта на другие его статьи (пункты и подпункты) допускаются только в случаях, когда необходимо показать взаимную связь правовых норм либо избежать повторений.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26. При ссылке на абзацы, строки и предложения их нумерация обозначается порядковыми числительными (прописью).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27. В тексте акта ссылка на статью (пункт и подпункт) приводится с указанием его порядкового номера, обозначаемого арабскими цифрами (не допускается использование прилагательных).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 В случае если в тексте акта имеется ссылка на акт, то указываются его вид, дата принятия, регистрационный номер и название этого акта (в указанной последовательности).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ссылке на законодательные акты указание номеров, под которыми они зарегистрированы, не требуется, за исключением указов Президента Республики Казахстан, имеющих силу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названии акта, предусматривающего внесение изменений, дополнений в ранее принятый акт и/или признание его утратившим силу, должно содержаться указание на вид акта, дату его принятия и регистрационный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29. Если в тексте акта приводится две и более последовательных ссылок на один и тот же акт, то полное название акта указывается один раз (при первом упоминании в тексте) с последующей ссылкой на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30. Если в акте имеются ссылки на приложения, то указываются номера приложений, присваиваемые в порядке упоминания приложений в тексте акта, за исключением случаев, когда к акту имеется одно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31. В тексте актов при обозначении даты применяется словесно-цифровой способ, например: "13 января 2005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32. Примечания к положениям актов допускаются в исключительных случаях, когда соответствующие указания невозможно изложить в тексте без </w:t>
      </w:r>
      <w:r>
        <w:rPr>
          <w:rFonts w:ascii="Times New Roman"/>
          <w:b w:val="false"/>
          <w:i w:val="false"/>
          <w:color w:val="000000"/>
          <w:sz w:val="28"/>
        </w:rPr>
        <w:t>ущерба для смысла нормы.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Оформление актов 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ранее принятые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В заголовке акта, предусматривающего внесение изменений и дополнений в ранее принятый акт, должна содержаться ссылка на форму и заголовок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внесении в тексте акта в первую очередь изменений (либо изменения) в ранее принятые акты, в данном случае наименование акта излагается "О внесении изменений (изменения) и дополнений (дополнения)...", в случае внесения в первую очередь дополнений (либо дополнения) в ранее принятые акты наименование акта излагается "О внесении дополнений (дополнения) и изменений (изменения)...".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34. При подготовке проекта закона, предусматривающего внесение изменений и (или) дополнений в ранее принятые законы, а также признание их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утратившими силу, после даты, номера, под которым он зарегистрирован, 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названия этого акта указываются в скобках год, номер и статья его </w:t>
      </w:r>
      <w:r>
        <w:rPr>
          <w:rFonts w:ascii="Times New Roman"/>
          <w:b w:val="false"/>
          <w:i w:val="false"/>
          <w:color w:val="000000"/>
          <w:sz w:val="28"/>
        </w:rPr>
        <w:t>опубликования в сборнике "Ведомости Парламента Республики Казахстан" либо иной источник официального опубликования, если ранее принятый закон не опубликован в указанном сборнике.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подготовке проекта иного нормативного правового акта, предусматривающего внесение изменений и (или) дополнений в ранее принятые акты, а также признание их утратившими силу, после даты, номера, под которым он зарегистрирован, и названия этого акта указываются в скобках год, номер и статья его опубликования в сборниках "Собрание актов Президента Республики Казахстан и Правительства Республики Казахстан", "Собрание актов центральных исполнительных и иных центральных государственных органов Республики Казахстан" в случае если они опубликовывались в указанных сборниках.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35. В случае внесения изменений и дополнений в закон текст акта излагается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2003 года "О профилактике йододефицитных заболеваний" (Ведомости Парламента Республики Казахстан, 2003 г., № 19-20, ст.149; 2006 г., № 1, ст.5) следующие изменения и дополнения:".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внесения изменений и дополнений в некоторые законодательные акты текст акта излагается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 Закон Республики Казахстан от 28 июня 1995 года "О нефти" (Ведомости Верховного Совета Республики Казахстан, 1995 г., № 11, ст.76; Ведомости Парламента Республики Казахстан, 1997 г., № 11, ст.150; 1999 г., № 21, ст.787; 2003 г., № 6, ст.34; № 11, ст.56; 2004 г., № 22, ст. 131; № 23, ст. 142; 2005 г., № 16, ст.70; 2006 г., № 16, ст.99):".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36. При изменении и дополнении более трех актов составляются перечни, </w:t>
      </w:r>
      <w:r>
        <w:rPr>
          <w:rFonts w:ascii="Times New Roman"/>
          <w:b w:val="false"/>
          <w:i w:val="false"/>
          <w:color w:val="000000"/>
          <w:sz w:val="28"/>
        </w:rPr>
        <w:t>оформляемые отдельными приложениями.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Если одни элементы структурной части того или иного акта должны быть признаны утратившими силу, а другие части этого же акта должны быть изложены в новой редакции, то такой акт включается в перечень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Указанные требования не распространяется на законодательные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37. При значительном числе (три и более) актов или их частей (глав,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пунктов, подпунктов), подлежащих признанию утратившими силу, изменению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дополнению в связи с принятием нового акта того же уровня, их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оформляется самостоятельным актом. Проект такого акта подготавливается </w:t>
      </w:r>
      <w:r>
        <w:rPr>
          <w:rFonts w:ascii="Times New Roman"/>
          <w:b w:val="false"/>
          <w:i w:val="false"/>
          <w:color w:val="000000"/>
          <w:sz w:val="28"/>
        </w:rPr>
        <w:t>разработчиком проекта основного акта и представляется одновременно с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Все изменения и дополнения, вносимые в один и тот же акт, предусматриваются одним пунктом или подпунктом. Все акты в перечне актов, в которые вносятся изменения и дополнения, так же как и в перечне актов, признаваемых утратившими силу, располагаются в зависимости от соотношения их юридической силы, а также в хронологическом порядке по дате их принятия (издания).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38. При внесении изменений и дополнений в структурную часть акта, содержание текста такой структурной части, излагается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39. При изменении текста структурной части действующего акта такая часть продолжает действовать в измененной редакции. После текста измененной структурной части следует ссылка на то, что эта часть действует в редакции акта, изменившего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40. Если в акте имеется ссылка на приложение, то в скобках указывается номер данного приложения, кроме случаев, когда к акту имеется одно приложение.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41. Дополнительные структурные части, в том числе приложения, включаются в текст действующего акта: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включаемые за последней структурной частью того же вида под последующими порядковыми номерами;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включаемые между структурными частями того же вида под дополнительными номерами, дублирующими номера тех структурных частей акта, за которыми следуют, например: пункты 2-1, 2-2; подпункты 8-1), 8-2); раздел 5-1; приложения 3-1, 3-2, 3-3.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этом в актах о включении в действующий основной акт дополнительных приложений и производных актов должен содержаться пункт (подпункт) о дополнении действующего основного акта приложением или производным актом в соответствии с приложением к акту о включении.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действующем акте после текста включенной структурной части в скобках вводится ссылка на акт о включении. Нумерация остальных частей акта сохраняется.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42. Акты, имеющие грифы секретности или пометки "Для служебного пользования" ("дсп"), "без опубликования в печати", "не для печати", включаются в перечень без указания их заголовка (названия).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43. Все акты в перечне актов, в которые вносятся изменения, и дополнения, также как и в перечне актов, признаваемых утратившими силу, </w:t>
      </w:r>
      <w:r>
        <w:rPr>
          <w:rFonts w:ascii="Times New Roman"/>
          <w:b w:val="false"/>
          <w:i w:val="false"/>
          <w:color w:val="000000"/>
          <w:sz w:val="28"/>
        </w:rPr>
        <w:t>располагаются в хронологическом порядке по дате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пределах одной и той же даты акты указываются в соответствии с их номерами или номерами статей в официальных источниках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Правила оформления актов о признании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принятых актов,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В связи с принятием акта подлежат признанию утратившими силу,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изменению или дополнению все ранее принятые нормативные правовые акты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их структурные части, если они противоречат включенным в новый акт </w:t>
      </w:r>
      <w:r>
        <w:rPr>
          <w:rFonts w:ascii="Times New Roman"/>
          <w:b w:val="false"/>
          <w:i w:val="false"/>
          <w:color w:val="000000"/>
          <w:sz w:val="28"/>
        </w:rPr>
        <w:t>нормам права или поглощаются 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45. При признании утратившим силу акта вышестоящего уровня подлежат признанию утратившими силу акты нижестоящего уровня, принятые </w:t>
      </w:r>
      <w:r>
        <w:rPr>
          <w:rFonts w:ascii="Times New Roman"/>
          <w:b w:val="false"/>
          <w:i w:val="false"/>
          <w:color w:val="000000"/>
          <w:sz w:val="28"/>
        </w:rPr>
        <w:t>в его реализацию.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Данное требование также распространяется на случаи, когда из акта вышестоящего уровня исключаются отдельные нормы, в реализацию которых приняты акты нижестоящего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46. Перечень актов и их частей, подлежащих признанию утратившими силу в связи с принятием акта, должен содержаться либо в самом акте, либо в акте о порядке введения его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47. При признании структурных частей действующего акта утратившими силу такие части из действующего акта исключаются, но их номера сохраняются. К сохранившемуся номеру добавляется ссылка на акт о признании акта (или его части) утратившим силу. Нумерация сохранившихся структурных частей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48. При значительном числе актов (три или более) или их частей (глав, статей, пунктов и подпунктов), подлежащих признанию утратившими силу, изменению или дополнению в связи с принятием нового акта и имеющих более низкий уровень, чем новый акт, уполномоченный орган поручает соответствующим государственным органам принять (издать) акты о признании утратившими силу, изменении и дополнении их актов с указанием срока принятия (издания).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Проект такого поручения подготавливается органом, вносящим в уполномоченный орган проект нового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49. Если акт утратил значение (юридическую силу) не полностью, он </w:t>
      </w:r>
      <w:r>
        <w:rPr>
          <w:rFonts w:ascii="Times New Roman"/>
          <w:b w:val="false"/>
          <w:i w:val="false"/>
          <w:color w:val="000000"/>
          <w:sz w:val="28"/>
        </w:rPr>
        <w:t xml:space="preserve">включается в перечень для признаний утратившим силу только в части, </w:t>
      </w:r>
      <w:r>
        <w:rPr>
          <w:rFonts w:ascii="Times New Roman"/>
          <w:b w:val="false"/>
          <w:i w:val="false"/>
          <w:color w:val="000000"/>
          <w:sz w:val="28"/>
        </w:rPr>
        <w:t>противоречащей вновь принятому акту или поглощенной последним.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если в большом по объему акте подлежит признанию утратившей силу значительная часть пунктов, то в перечень включается весь акт, с оговоркой о пунктах, сохраняющих свою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50. Подлежат признанию утратившими силу также акты, дублирующие нормы других актов и не содержащие новизны.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51. На утрату ставятся акты, как официально опубликованные, так и неопубликованные.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52. Подлежат признанию утратившими силу, как основной акт, так и акты (или их части), которыми в его текст были внесены изменения и дополнения. В случаях неоднократного изменения редакции какого-либо акта (статьи, пункта, подпункта, абзаца), подлежащего признанию утратившим силу полностью, в перечень включаются в виде самостоятельных пунктов все акты об этом, в том числе промежуточные акты, изменявшие редакцию.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Указанное требование не распространяется на законодательные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53. В перечень в виде самостоятельных пунктов включаются все противоречащие новому решению или поглощенные им акты о последующем расширении сферы его применения, а также сферы применения отдельных его </w:t>
      </w:r>
      <w:r>
        <w:rPr>
          <w:rFonts w:ascii="Times New Roman"/>
          <w:b w:val="false"/>
          <w:i w:val="false"/>
          <w:color w:val="000000"/>
          <w:sz w:val="28"/>
        </w:rPr>
        <w:t>структурных частей по времени и кругу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54. В случае, если актом признаются утратившими силу другой акт или его часть, в которых предусматривалось признать утратившими силу ранее принятые акты, последние не возобновляют свое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55. Не вступившие в силу акты не могут быть признаны утратившими силу. При необходимости такие акты могут быть отменены.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56. Акты и структурные части актов временного характера, срок действия которых истек, не подлежат признанию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случаях, когда в актах, наряду с нормами временного характера, срок действия которых истек, содержатся нормы постоянного действия и все эти нормы подлежат признанию утратившими силу, в перечень включается весь акт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57. В случае если статья (пункт) акта содержит указание на приложение,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которое подлежит признанию утратившим силу, то в перечень включается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(ставится на утрату) только данная статья (пункт), а приложение отдельно не </w:t>
      </w:r>
      <w:r>
        <w:rPr>
          <w:rFonts w:ascii="Times New Roman"/>
          <w:b w:val="false"/>
          <w:i w:val="false"/>
          <w:color w:val="000000"/>
          <w:sz w:val="28"/>
        </w:rPr>
        <w:t>оговаривается.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если в статье (пункте) акта наряду с утверждением приложения содержится норма, касающаяся других вопросов, сохраняющих значение, а приложение подлежит признанию утратившим силу полностью, то в перечень включается данный пункт в части, относящейся к приложению, а приложение отдельно не оговаривается.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58. Если признанию утратившими силу подлежат отдельные пункты полностью, а другие только в определенной части, то сначала указываются </w:t>
      </w:r>
      <w:r>
        <w:rPr>
          <w:rFonts w:ascii="Times New Roman"/>
          <w:b w:val="false"/>
          <w:i w:val="false"/>
          <w:color w:val="000000"/>
          <w:sz w:val="28"/>
        </w:rPr>
        <w:t>пункты, подлежащие признанию утратившими силу полностью.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Правила оформления приложений к 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В структуру акта могут включаться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60. В случае необходимости включения в акты графиков, таблиц, схем, карт, перечней и других материалов последние оформляются отдельными приложениями.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61. В правом верхнем углу первого листа производного акта либо приложения должно содержаться указание на вид основного акта, посредством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которого он (оно) принят, дату принятия акта и его регистрационный номер.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Например, если в тексте акта приводится ссылка "утвердить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Инструкцию... (Положение..., Правила...)", то в правом верхнем углу приложения пишется: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Утверждена (о)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от______ 200_ года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если к акту имеются несколько приложений, в правом верхнем углу каждого приложения указываются его порядковый номер, а также вид акта, посредством которого оно принято, дата принятия акта и его регистрационный номер. Если приложение к акту одно, то оно не нумеруется.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Например, если в тексте акта приводится ссылка: "согласно приложению 1 (2, 3,...)" либо "приложение 1 (2, 3,...)", то в правом верхнем углу приложения пишется: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 (2, 3,...)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 нормативных правовых актах"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или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(распоряжению Премьер-Министра)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от______ 200 года №__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62. Если к Инструкции, Положению, Правилам и иным производным актам, оформляемым отдельным приложением, имеются приложения, то в правых верхних углах последних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 (2, 3,...) к Инструкции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(Положению..., Правилам...)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 этом название Инструкции, Положения, Правил и иных производных актов указывается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63. Заголовок (название) приложения обязательно должен соответствовать тексту основного акта, которым он принят.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64. Оформление актов с грифами секретности или пометкой "Для служебного пользования" ("дсп") осуществляется в соответствии с настоящей Юридической техникой и требованиями актов регулирующие указанные вопросы.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