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82a6" w14:textId="dcc8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порядке передачи данных статистики внешней торговли и статистики взаимной торговли</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2009 года № 2073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о порядке передачи данных статистики внешней торговли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2. Подписать Протокол о порядке передачи данных статистики внешней торговли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2009 года № 2073</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передачи данных статистики внешней торговли и</w:t>
      </w:r>
      <w:r>
        <w:br/>
      </w:r>
      <w:r>
        <w:rPr>
          <w:rFonts w:ascii="Times New Roman"/>
          <w:b/>
          <w:i w:val="false"/>
          <w:color w:val="000000"/>
        </w:rPr>
        <w:t>
статистики взаимной торговли</w:t>
      </w:r>
    </w:p>
    <w:bookmarkEnd w:id="2"/>
    <w:bookmarkStart w:name="z7" w:id="3"/>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союза,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ведении таможенной статистики внешней и взаимной торговли товарами таможенного союза от 25 января 2008 года,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0" w:id="4"/>
    <w:p>
      <w:pPr>
        <w:spacing w:after="0"/>
        <w:ind w:left="0"/>
        <w:jc w:val="left"/>
      </w:pPr>
      <w:r>
        <w:rPr>
          <w:rFonts w:ascii="Times New Roman"/>
          <w:b/>
          <w:i w:val="false"/>
          <w:color w:val="000000"/>
        </w:rPr>
        <w:t xml:space="preserve"> 
Статья 1</w:t>
      </w:r>
    </w:p>
    <w:bookmarkEnd w:id="4"/>
    <w:bookmarkStart w:name="z11" w:id="5"/>
    <w:p>
      <w:pPr>
        <w:spacing w:after="0"/>
        <w:ind w:left="0"/>
        <w:jc w:val="both"/>
      </w:pPr>
      <w:r>
        <w:rPr>
          <w:rFonts w:ascii="Times New Roman"/>
          <w:b w:val="false"/>
          <w:i w:val="false"/>
          <w:color w:val="000000"/>
          <w:sz w:val="28"/>
        </w:rPr>
        <w:t>
      Настоящий Протокол определяет основы осуществления передачи данных таможенной статистики внешней торговли и статистики взаимной торговли товарами таможенного союза (далее - данные статистики внешней торговли и статистики взаимной торговли) в Центр таможенной статистики Комиссии таможенного союза (далее - Центр) уполномоченными органами Сторон, ответственными за предоставление данных в Центр.</w:t>
      </w:r>
    </w:p>
    <w:bookmarkEnd w:id="5"/>
    <w:bookmarkStart w:name="z12" w:id="6"/>
    <w:p>
      <w:pPr>
        <w:spacing w:after="0"/>
        <w:ind w:left="0"/>
        <w:jc w:val="left"/>
      </w:pPr>
      <w:r>
        <w:rPr>
          <w:rFonts w:ascii="Times New Roman"/>
          <w:b/>
          <w:i w:val="false"/>
          <w:color w:val="000000"/>
        </w:rPr>
        <w:t xml:space="preserve"> 
Статья 2</w:t>
      </w:r>
    </w:p>
    <w:bookmarkEnd w:id="6"/>
    <w:bookmarkStart w:name="z13" w:id="7"/>
    <w:p>
      <w:pPr>
        <w:spacing w:after="0"/>
        <w:ind w:left="0"/>
        <w:jc w:val="both"/>
      </w:pPr>
      <w:r>
        <w:rPr>
          <w:rFonts w:ascii="Times New Roman"/>
          <w:b w:val="false"/>
          <w:i w:val="false"/>
          <w:color w:val="000000"/>
          <w:sz w:val="28"/>
        </w:rPr>
        <w:t>
      Подготовку и формирование данных статистики внешней торговли и статистики взаимной торговли для передачи в Центр уполномоченные органы Сторон осуществляют в соответствии с единой методологией ведения статистики внешней торговли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Передача данных статистики внешней торговли и статистики взаимной торговли уполномоченными органами Сторон в Центр осуществляется согласно Техническим условиям передачи данных статистики внешней торговли и статистики взаимной торговли (далее - технические условия).</w:t>
      </w:r>
      <w:r>
        <w:br/>
      </w:r>
      <w:r>
        <w:rPr>
          <w:rFonts w:ascii="Times New Roman"/>
          <w:b w:val="false"/>
          <w:i w:val="false"/>
          <w:color w:val="000000"/>
          <w:sz w:val="28"/>
        </w:rPr>
        <w:t>
</w:t>
      </w:r>
      <w:r>
        <w:rPr>
          <w:rFonts w:ascii="Times New Roman"/>
          <w:b w:val="false"/>
          <w:i w:val="false"/>
          <w:color w:val="000000"/>
          <w:sz w:val="28"/>
        </w:rPr>
        <w:t>
      Технические условия разрабатываются и утверждаются Комиссией таможенного союза по согласованию с уполномоченными органами Сторон. Технические условия должны содержать необходимые требования к форматам передаваемой информации и средствам передачи данных в соответствии с перечнем показателей внешней и взаимной торговли, приведенным в статье 4 настоящего Протокола.</w:t>
      </w:r>
      <w:r>
        <w:br/>
      </w:r>
      <w:r>
        <w:rPr>
          <w:rFonts w:ascii="Times New Roman"/>
          <w:b w:val="false"/>
          <w:i w:val="false"/>
          <w:color w:val="000000"/>
          <w:sz w:val="28"/>
        </w:rPr>
        <w:t>
</w:t>
      </w:r>
      <w:r>
        <w:rPr>
          <w:rFonts w:ascii="Times New Roman"/>
          <w:b w:val="false"/>
          <w:i w:val="false"/>
          <w:color w:val="000000"/>
          <w:sz w:val="28"/>
        </w:rPr>
        <w:t>
      Передача данных согласно настоящему Протоколу осуществляется уполномоченными органами Сторон ежемесячно на 40 день после отчетного периода, с актуализацией данных с начала календарного года, в электронном виде. Актуализация данных за предыдущий год осуществляется на 180-й день после его окончания. За отчетный период принимается календарный месяц.</w:t>
      </w:r>
    </w:p>
    <w:bookmarkEnd w:id="7"/>
    <w:bookmarkStart w:name="z17" w:id="8"/>
    <w:p>
      <w:pPr>
        <w:spacing w:after="0"/>
        <w:ind w:left="0"/>
        <w:jc w:val="left"/>
      </w:pPr>
      <w:r>
        <w:rPr>
          <w:rFonts w:ascii="Times New Roman"/>
          <w:b/>
          <w:i w:val="false"/>
          <w:color w:val="000000"/>
        </w:rPr>
        <w:t xml:space="preserve"> 
Статья 3</w:t>
      </w:r>
    </w:p>
    <w:bookmarkEnd w:id="8"/>
    <w:bookmarkStart w:name="z18" w:id="9"/>
    <w:p>
      <w:pPr>
        <w:spacing w:after="0"/>
        <w:ind w:left="0"/>
        <w:jc w:val="both"/>
      </w:pPr>
      <w:r>
        <w:rPr>
          <w:rFonts w:ascii="Times New Roman"/>
          <w:b w:val="false"/>
          <w:i w:val="false"/>
          <w:color w:val="000000"/>
          <w:sz w:val="28"/>
        </w:rPr>
        <w:t>
      Уполномоченные органы Сторон принимают меры по обеспечению полноты, достоверности и актуальности передаваемых данных в соответствии с Техническими условиями.</w:t>
      </w:r>
      <w:r>
        <w:br/>
      </w:r>
      <w:r>
        <w:rPr>
          <w:rFonts w:ascii="Times New Roman"/>
          <w:b w:val="false"/>
          <w:i w:val="false"/>
          <w:color w:val="000000"/>
          <w:sz w:val="28"/>
        </w:rPr>
        <w:t>
</w:t>
      </w:r>
      <w:r>
        <w:rPr>
          <w:rFonts w:ascii="Times New Roman"/>
          <w:b w:val="false"/>
          <w:i w:val="false"/>
          <w:color w:val="000000"/>
          <w:sz w:val="28"/>
        </w:rPr>
        <w:t>
      Уполномоченные органы Сторон осуществляют своевременное доведение актуализированной нормативно-справочной информации до Центра.</w:t>
      </w:r>
    </w:p>
    <w:bookmarkEnd w:id="9"/>
    <w:bookmarkStart w:name="z20" w:id="10"/>
    <w:p>
      <w:pPr>
        <w:spacing w:after="0"/>
        <w:ind w:left="0"/>
        <w:jc w:val="left"/>
      </w:pPr>
      <w:r>
        <w:rPr>
          <w:rFonts w:ascii="Times New Roman"/>
          <w:b/>
          <w:i w:val="false"/>
          <w:color w:val="000000"/>
        </w:rPr>
        <w:t xml:space="preserve"> 
Статья 4</w:t>
      </w:r>
    </w:p>
    <w:bookmarkEnd w:id="10"/>
    <w:bookmarkStart w:name="z21" w:id="11"/>
    <w:p>
      <w:pPr>
        <w:spacing w:after="0"/>
        <w:ind w:left="0"/>
        <w:jc w:val="both"/>
      </w:pPr>
      <w:r>
        <w:rPr>
          <w:rFonts w:ascii="Times New Roman"/>
          <w:b w:val="false"/>
          <w:i w:val="false"/>
          <w:color w:val="000000"/>
          <w:sz w:val="28"/>
        </w:rPr>
        <w:t>
      Передаваемые уполномоченными органами Сторон в Центр статистические данные должны содержать следующие сведения:</w:t>
      </w:r>
      <w:r>
        <w:br/>
      </w:r>
      <w:r>
        <w:rPr>
          <w:rFonts w:ascii="Times New Roman"/>
          <w:b w:val="false"/>
          <w:i w:val="false"/>
          <w:color w:val="000000"/>
          <w:sz w:val="28"/>
        </w:rPr>
        <w:t>
      по внешней торговле:</w:t>
      </w:r>
      <w:r>
        <w:br/>
      </w:r>
      <w:r>
        <w:rPr>
          <w:rFonts w:ascii="Times New Roman"/>
          <w:b w:val="false"/>
          <w:i w:val="false"/>
          <w:color w:val="000000"/>
          <w:sz w:val="28"/>
        </w:rPr>
        <w:t>
</w:t>
      </w:r>
      <w:r>
        <w:rPr>
          <w:rFonts w:ascii="Times New Roman"/>
          <w:b w:val="false"/>
          <w:i w:val="false"/>
          <w:color w:val="000000"/>
          <w:sz w:val="28"/>
        </w:rPr>
        <w:t>
      код товара согласно единой ТН ВЭД (10 знаков);</w:t>
      </w:r>
      <w:r>
        <w:br/>
      </w:r>
      <w:r>
        <w:rPr>
          <w:rFonts w:ascii="Times New Roman"/>
          <w:b w:val="false"/>
          <w:i w:val="false"/>
          <w:color w:val="000000"/>
          <w:sz w:val="28"/>
        </w:rPr>
        <w:t>
</w:t>
      </w:r>
      <w:r>
        <w:rPr>
          <w:rFonts w:ascii="Times New Roman"/>
          <w:b w:val="false"/>
          <w:i w:val="false"/>
          <w:color w:val="000000"/>
          <w:sz w:val="28"/>
        </w:rPr>
        <w:t>
      направление перемещения;</w:t>
      </w:r>
      <w:r>
        <w:br/>
      </w:r>
      <w:r>
        <w:rPr>
          <w:rFonts w:ascii="Times New Roman"/>
          <w:b w:val="false"/>
          <w:i w:val="false"/>
          <w:color w:val="000000"/>
          <w:sz w:val="28"/>
        </w:rPr>
        <w:t>
</w:t>
      </w:r>
      <w:r>
        <w:rPr>
          <w:rFonts w:ascii="Times New Roman"/>
          <w:b w:val="false"/>
          <w:i w:val="false"/>
          <w:color w:val="000000"/>
          <w:sz w:val="28"/>
        </w:rPr>
        <w:t>
      период (месяц);</w:t>
      </w:r>
      <w:r>
        <w:br/>
      </w:r>
      <w:r>
        <w:rPr>
          <w:rFonts w:ascii="Times New Roman"/>
          <w:b w:val="false"/>
          <w:i w:val="false"/>
          <w:color w:val="000000"/>
          <w:sz w:val="28"/>
        </w:rPr>
        <w:t>
</w:t>
      </w:r>
      <w:r>
        <w:rPr>
          <w:rFonts w:ascii="Times New Roman"/>
          <w:b w:val="false"/>
          <w:i w:val="false"/>
          <w:color w:val="000000"/>
          <w:sz w:val="28"/>
        </w:rPr>
        <w:t>
      статистическая стоимость (в долларах США);</w:t>
      </w:r>
      <w:r>
        <w:br/>
      </w:r>
      <w:r>
        <w:rPr>
          <w:rFonts w:ascii="Times New Roman"/>
          <w:b w:val="false"/>
          <w:i w:val="false"/>
          <w:color w:val="000000"/>
          <w:sz w:val="28"/>
        </w:rPr>
        <w:t>
</w:t>
      </w:r>
      <w:r>
        <w:rPr>
          <w:rFonts w:ascii="Times New Roman"/>
          <w:b w:val="false"/>
          <w:i w:val="false"/>
          <w:color w:val="000000"/>
          <w:sz w:val="28"/>
        </w:rPr>
        <w:t>
      вес нетто (кг);</w:t>
      </w:r>
      <w:r>
        <w:br/>
      </w:r>
      <w:r>
        <w:rPr>
          <w:rFonts w:ascii="Times New Roman"/>
          <w:b w:val="false"/>
          <w:i w:val="false"/>
          <w:color w:val="000000"/>
          <w:sz w:val="28"/>
        </w:rPr>
        <w:t>
</w:t>
      </w:r>
      <w:r>
        <w:rPr>
          <w:rFonts w:ascii="Times New Roman"/>
          <w:b w:val="false"/>
          <w:i w:val="false"/>
          <w:color w:val="000000"/>
          <w:sz w:val="28"/>
        </w:rPr>
        <w:t>
      код дополнительной единицы измерения согласно единой ТН ВЭД;</w:t>
      </w:r>
      <w:r>
        <w:br/>
      </w:r>
      <w:r>
        <w:rPr>
          <w:rFonts w:ascii="Times New Roman"/>
          <w:b w:val="false"/>
          <w:i w:val="false"/>
          <w:color w:val="000000"/>
          <w:sz w:val="28"/>
        </w:rPr>
        <w:t>
</w:t>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w:t>
      </w:r>
      <w:r>
        <w:rPr>
          <w:rFonts w:ascii="Times New Roman"/>
          <w:b w:val="false"/>
          <w:i w:val="false"/>
          <w:color w:val="000000"/>
          <w:sz w:val="28"/>
        </w:rPr>
        <w:t>
      страна назначения;</w:t>
      </w:r>
      <w:r>
        <w:br/>
      </w:r>
      <w:r>
        <w:rPr>
          <w:rFonts w:ascii="Times New Roman"/>
          <w:b w:val="false"/>
          <w:i w:val="false"/>
          <w:color w:val="000000"/>
          <w:sz w:val="28"/>
        </w:rPr>
        <w:t>
</w:t>
      </w:r>
      <w:r>
        <w:rPr>
          <w:rFonts w:ascii="Times New Roman"/>
          <w:b w:val="false"/>
          <w:i w:val="false"/>
          <w:color w:val="000000"/>
          <w:sz w:val="28"/>
        </w:rPr>
        <w:t>
      страна происхождения;</w:t>
      </w:r>
      <w:r>
        <w:br/>
      </w:r>
      <w:r>
        <w:rPr>
          <w:rFonts w:ascii="Times New Roman"/>
          <w:b w:val="false"/>
          <w:i w:val="false"/>
          <w:color w:val="000000"/>
          <w:sz w:val="28"/>
        </w:rPr>
        <w:t>
</w:t>
      </w:r>
      <w:r>
        <w:rPr>
          <w:rFonts w:ascii="Times New Roman"/>
          <w:b w:val="false"/>
          <w:i w:val="false"/>
          <w:color w:val="000000"/>
          <w:sz w:val="28"/>
        </w:rPr>
        <w:t>
      страна отправления;</w:t>
      </w:r>
      <w:r>
        <w:br/>
      </w:r>
      <w:r>
        <w:rPr>
          <w:rFonts w:ascii="Times New Roman"/>
          <w:b w:val="false"/>
          <w:i w:val="false"/>
          <w:color w:val="000000"/>
          <w:sz w:val="28"/>
        </w:rPr>
        <w:t>
</w:t>
      </w:r>
      <w:r>
        <w:rPr>
          <w:rFonts w:ascii="Times New Roman"/>
          <w:b w:val="false"/>
          <w:i w:val="false"/>
          <w:color w:val="000000"/>
          <w:sz w:val="28"/>
        </w:rPr>
        <w:t>
      торгующая страна;</w:t>
      </w:r>
      <w:r>
        <w:br/>
      </w:r>
      <w:r>
        <w:rPr>
          <w:rFonts w:ascii="Times New Roman"/>
          <w:b w:val="false"/>
          <w:i w:val="false"/>
          <w:color w:val="000000"/>
          <w:sz w:val="28"/>
        </w:rPr>
        <w:t>
</w:t>
      </w:r>
      <w:r>
        <w:rPr>
          <w:rFonts w:ascii="Times New Roman"/>
          <w:b w:val="false"/>
          <w:i w:val="false"/>
          <w:color w:val="000000"/>
          <w:sz w:val="28"/>
        </w:rPr>
        <w:t>
      вид транспорта на границе;</w:t>
      </w:r>
      <w:r>
        <w:br/>
      </w:r>
      <w:r>
        <w:rPr>
          <w:rFonts w:ascii="Times New Roman"/>
          <w:b w:val="false"/>
          <w:i w:val="false"/>
          <w:color w:val="000000"/>
          <w:sz w:val="28"/>
        </w:rPr>
        <w:t>
      по взаимной торговле:</w:t>
      </w:r>
      <w:r>
        <w:br/>
      </w:r>
      <w:r>
        <w:rPr>
          <w:rFonts w:ascii="Times New Roman"/>
          <w:b w:val="false"/>
          <w:i w:val="false"/>
          <w:color w:val="000000"/>
          <w:sz w:val="28"/>
        </w:rPr>
        <w:t>
</w:t>
      </w:r>
      <w:r>
        <w:rPr>
          <w:rFonts w:ascii="Times New Roman"/>
          <w:b w:val="false"/>
          <w:i w:val="false"/>
          <w:color w:val="000000"/>
          <w:sz w:val="28"/>
        </w:rPr>
        <w:t>
      код товара согласно единой ТН ВЭД;</w:t>
      </w:r>
      <w:r>
        <w:br/>
      </w:r>
      <w:r>
        <w:rPr>
          <w:rFonts w:ascii="Times New Roman"/>
          <w:b w:val="false"/>
          <w:i w:val="false"/>
          <w:color w:val="000000"/>
          <w:sz w:val="28"/>
        </w:rPr>
        <w:t>
</w:t>
      </w:r>
      <w:r>
        <w:rPr>
          <w:rFonts w:ascii="Times New Roman"/>
          <w:b w:val="false"/>
          <w:i w:val="false"/>
          <w:color w:val="000000"/>
          <w:sz w:val="28"/>
        </w:rPr>
        <w:t>
      направление перемещения;</w:t>
      </w:r>
      <w:r>
        <w:br/>
      </w:r>
      <w:r>
        <w:rPr>
          <w:rFonts w:ascii="Times New Roman"/>
          <w:b w:val="false"/>
          <w:i w:val="false"/>
          <w:color w:val="000000"/>
          <w:sz w:val="28"/>
        </w:rPr>
        <w:t>
</w:t>
      </w:r>
      <w:r>
        <w:rPr>
          <w:rFonts w:ascii="Times New Roman"/>
          <w:b w:val="false"/>
          <w:i w:val="false"/>
          <w:color w:val="000000"/>
          <w:sz w:val="28"/>
        </w:rPr>
        <w:t>
      период (месяц);</w:t>
      </w:r>
      <w:r>
        <w:br/>
      </w:r>
      <w:r>
        <w:rPr>
          <w:rFonts w:ascii="Times New Roman"/>
          <w:b w:val="false"/>
          <w:i w:val="false"/>
          <w:color w:val="000000"/>
          <w:sz w:val="28"/>
        </w:rPr>
        <w:t>
</w:t>
      </w:r>
      <w:r>
        <w:rPr>
          <w:rFonts w:ascii="Times New Roman"/>
          <w:b w:val="false"/>
          <w:i w:val="false"/>
          <w:color w:val="000000"/>
          <w:sz w:val="28"/>
        </w:rPr>
        <w:t>
      стоимость (в долларах США и в национальных валютах);</w:t>
      </w:r>
      <w:r>
        <w:br/>
      </w:r>
      <w:r>
        <w:rPr>
          <w:rFonts w:ascii="Times New Roman"/>
          <w:b w:val="false"/>
          <w:i w:val="false"/>
          <w:color w:val="000000"/>
          <w:sz w:val="28"/>
        </w:rPr>
        <w:t>
</w:t>
      </w:r>
      <w:r>
        <w:rPr>
          <w:rFonts w:ascii="Times New Roman"/>
          <w:b w:val="false"/>
          <w:i w:val="false"/>
          <w:color w:val="000000"/>
          <w:sz w:val="28"/>
        </w:rPr>
        <w:t>
      вес нетто (кг);</w:t>
      </w:r>
      <w:r>
        <w:br/>
      </w:r>
      <w:r>
        <w:rPr>
          <w:rFonts w:ascii="Times New Roman"/>
          <w:b w:val="false"/>
          <w:i w:val="false"/>
          <w:color w:val="000000"/>
          <w:sz w:val="28"/>
        </w:rPr>
        <w:t>
</w:t>
      </w:r>
      <w:r>
        <w:rPr>
          <w:rFonts w:ascii="Times New Roman"/>
          <w:b w:val="false"/>
          <w:i w:val="false"/>
          <w:color w:val="000000"/>
          <w:sz w:val="28"/>
        </w:rPr>
        <w:t>
      код дополнительной единицы измерения согласно единой ТН ВЭД;</w:t>
      </w:r>
      <w:r>
        <w:br/>
      </w:r>
      <w:r>
        <w:rPr>
          <w:rFonts w:ascii="Times New Roman"/>
          <w:b w:val="false"/>
          <w:i w:val="false"/>
          <w:color w:val="000000"/>
          <w:sz w:val="28"/>
        </w:rPr>
        <w:t>
</w:t>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w:t>
      </w:r>
      <w:r>
        <w:rPr>
          <w:rFonts w:ascii="Times New Roman"/>
          <w:b w:val="false"/>
          <w:i w:val="false"/>
          <w:color w:val="000000"/>
          <w:sz w:val="28"/>
        </w:rPr>
        <w:t>
      страна назначения;</w:t>
      </w:r>
      <w:r>
        <w:br/>
      </w:r>
      <w:r>
        <w:rPr>
          <w:rFonts w:ascii="Times New Roman"/>
          <w:b w:val="false"/>
          <w:i w:val="false"/>
          <w:color w:val="000000"/>
          <w:sz w:val="28"/>
        </w:rPr>
        <w:t>
</w:t>
      </w:r>
      <w:r>
        <w:rPr>
          <w:rFonts w:ascii="Times New Roman"/>
          <w:b w:val="false"/>
          <w:i w:val="false"/>
          <w:color w:val="000000"/>
          <w:sz w:val="28"/>
        </w:rPr>
        <w:t>
      страна происхождения;</w:t>
      </w:r>
      <w:r>
        <w:br/>
      </w:r>
      <w:r>
        <w:rPr>
          <w:rFonts w:ascii="Times New Roman"/>
          <w:b w:val="false"/>
          <w:i w:val="false"/>
          <w:color w:val="000000"/>
          <w:sz w:val="28"/>
        </w:rPr>
        <w:t>
      страна отправления;</w:t>
      </w:r>
      <w:r>
        <w:br/>
      </w:r>
      <w:r>
        <w:rPr>
          <w:rFonts w:ascii="Times New Roman"/>
          <w:b w:val="false"/>
          <w:i w:val="false"/>
          <w:color w:val="000000"/>
          <w:sz w:val="28"/>
        </w:rPr>
        <w:t>
      торгующая страна.</w:t>
      </w:r>
    </w:p>
    <w:bookmarkEnd w:id="11"/>
    <w:bookmarkStart w:name="z43" w:id="12"/>
    <w:p>
      <w:pPr>
        <w:spacing w:after="0"/>
        <w:ind w:left="0"/>
        <w:jc w:val="left"/>
      </w:pPr>
      <w:r>
        <w:rPr>
          <w:rFonts w:ascii="Times New Roman"/>
          <w:b/>
          <w:i w:val="false"/>
          <w:color w:val="000000"/>
        </w:rPr>
        <w:t xml:space="preserve"> 
Статья 5</w:t>
      </w:r>
    </w:p>
    <w:bookmarkEnd w:id="12"/>
    <w:bookmarkStart w:name="z44" w:id="13"/>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Протокола, разрешаются, в первую очередь, путем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13"/>
    <w:bookmarkStart w:name="z46" w:id="14"/>
    <w:p>
      <w:pPr>
        <w:spacing w:after="0"/>
        <w:ind w:left="0"/>
        <w:jc w:val="left"/>
      </w:pPr>
      <w:r>
        <w:rPr>
          <w:rFonts w:ascii="Times New Roman"/>
          <w:b/>
          <w:i w:val="false"/>
          <w:color w:val="000000"/>
        </w:rPr>
        <w:t xml:space="preserve"> 
Статья 6</w:t>
      </w:r>
    </w:p>
    <w:bookmarkEnd w:id="14"/>
    <w:bookmarkStart w:name="z47" w:id="15"/>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w:t>
      </w:r>
    </w:p>
    <w:bookmarkEnd w:id="15"/>
    <w:bookmarkStart w:name="z48" w:id="16"/>
    <w:p>
      <w:pPr>
        <w:spacing w:after="0"/>
        <w:ind w:left="0"/>
        <w:jc w:val="left"/>
      </w:pPr>
      <w:r>
        <w:rPr>
          <w:rFonts w:ascii="Times New Roman"/>
          <w:b/>
          <w:i w:val="false"/>
          <w:color w:val="000000"/>
        </w:rPr>
        <w:t xml:space="preserve"> 
Статья 7</w:t>
      </w:r>
    </w:p>
    <w:bookmarkEnd w:id="16"/>
    <w:bookmarkStart w:name="z49" w:id="17"/>
    <w:p>
      <w:pPr>
        <w:spacing w:after="0"/>
        <w:ind w:left="0"/>
        <w:jc w:val="both"/>
      </w:pP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17"/>
    <w:bookmarkStart w:name="z50" w:id="18"/>
    <w:p>
      <w:pPr>
        <w:spacing w:after="0"/>
        <w:ind w:left="0"/>
        <w:jc w:val="both"/>
      </w:pPr>
      <w:r>
        <w:rPr>
          <w:rFonts w:ascii="Times New Roman"/>
          <w:b w:val="false"/>
          <w:i w:val="false"/>
          <w:color w:val="000000"/>
          <w:sz w:val="28"/>
        </w:rPr>
        <w:t>
      Совершено в городе ________ "___" ______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у депозитария, которым до передачи функций депозитария Комиссии таможенного союза является Интеграционный комитет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Депозитарий направит каждой Стороне заверенную копию настоящего Протокола.</w:t>
      </w:r>
    </w:p>
    <w:bookmarkEnd w:id="18"/>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