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a002" w14:textId="018a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подъемно-транспортных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2009 года № 2117.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подъемно-транспортных средств".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2009 года № 2117</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подъемно-транспортных средств"</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подъемно-транспортных средств" (далее - Технический регламент) устанавливает требования к подъемно-транспортным средствам и к процессам их жизненного цикла.</w:t>
      </w:r>
    </w:p>
    <w:bookmarkEnd w:id="4"/>
    <w:bookmarkStart w:name="z8" w:id="5"/>
    <w:p>
      <w:pPr>
        <w:spacing w:after="0"/>
        <w:ind w:left="0"/>
        <w:jc w:val="both"/>
      </w:pPr>
      <w:r>
        <w:rPr>
          <w:rFonts w:ascii="Times New Roman"/>
          <w:b w:val="false"/>
          <w:i w:val="false"/>
          <w:color w:val="000000"/>
          <w:sz w:val="28"/>
        </w:rPr>
        <w:t>
      2. Идентификация подъемно-транспортных средств, производится путем использования кодов товарной номенклатуры внешнеэкономической деятельности Республики Казахстан (далее - ТН ВЭД РК), приведенной в приложении к настоящему Техническому регламенту, по маркировке и сопроводительным документам, по признакам, параметрам, показателям и требованиям, которые в совокупности достаточны для распознавания.</w:t>
      </w:r>
    </w:p>
    <w:bookmarkEnd w:id="5"/>
    <w:bookmarkStart w:name="z9" w:id="6"/>
    <w:p>
      <w:pPr>
        <w:spacing w:after="0"/>
        <w:ind w:left="0"/>
        <w:jc w:val="both"/>
      </w:pPr>
      <w:r>
        <w:rPr>
          <w:rFonts w:ascii="Times New Roman"/>
          <w:b w:val="false"/>
          <w:i w:val="false"/>
          <w:color w:val="000000"/>
          <w:sz w:val="28"/>
        </w:rPr>
        <w:t>
      3. Настоящий Технический регламент распространяется на:</w:t>
      </w:r>
    </w:p>
    <w:bookmarkEnd w:id="6"/>
    <w:bookmarkStart w:name="z10" w:id="7"/>
    <w:p>
      <w:pPr>
        <w:spacing w:after="0"/>
        <w:ind w:left="0"/>
        <w:jc w:val="both"/>
      </w:pPr>
      <w:r>
        <w:rPr>
          <w:rFonts w:ascii="Times New Roman"/>
          <w:b w:val="false"/>
          <w:i w:val="false"/>
          <w:color w:val="000000"/>
          <w:sz w:val="28"/>
        </w:rPr>
        <w:t>
      1) грузоподъемные краны всех типов, включая краны-манипуляторы;</w:t>
      </w:r>
    </w:p>
    <w:bookmarkEnd w:id="7"/>
    <w:bookmarkStart w:name="z11" w:id="8"/>
    <w:p>
      <w:pPr>
        <w:spacing w:after="0"/>
        <w:ind w:left="0"/>
        <w:jc w:val="both"/>
      </w:pPr>
      <w:r>
        <w:rPr>
          <w:rFonts w:ascii="Times New Roman"/>
          <w:b w:val="false"/>
          <w:i w:val="false"/>
          <w:color w:val="000000"/>
          <w:sz w:val="28"/>
        </w:rPr>
        <w:t>
      2) грузовые электрические тележки, передвигающиеся по надземным рельсовым путям совместно с кабиной управления;</w:t>
      </w:r>
    </w:p>
    <w:bookmarkEnd w:id="8"/>
    <w:bookmarkStart w:name="z12" w:id="9"/>
    <w:p>
      <w:pPr>
        <w:spacing w:after="0"/>
        <w:ind w:left="0"/>
        <w:jc w:val="both"/>
      </w:pPr>
      <w:r>
        <w:rPr>
          <w:rFonts w:ascii="Times New Roman"/>
          <w:b w:val="false"/>
          <w:i w:val="false"/>
          <w:color w:val="000000"/>
          <w:sz w:val="28"/>
        </w:rPr>
        <w:t>
      3) краны-экскаваторы, предназначенные для работы только с крюком, подвешенным на канате или электромагнитом;</w:t>
      </w:r>
    </w:p>
    <w:bookmarkEnd w:id="9"/>
    <w:bookmarkStart w:name="z13" w:id="10"/>
    <w:p>
      <w:pPr>
        <w:spacing w:after="0"/>
        <w:ind w:left="0"/>
        <w:jc w:val="both"/>
      </w:pPr>
      <w:r>
        <w:rPr>
          <w:rFonts w:ascii="Times New Roman"/>
          <w:b w:val="false"/>
          <w:i w:val="false"/>
          <w:color w:val="000000"/>
          <w:sz w:val="28"/>
        </w:rPr>
        <w:t>
      4) электрические тали;</w:t>
      </w:r>
    </w:p>
    <w:bookmarkEnd w:id="10"/>
    <w:bookmarkStart w:name="z14" w:id="11"/>
    <w:p>
      <w:pPr>
        <w:spacing w:after="0"/>
        <w:ind w:left="0"/>
        <w:jc w:val="both"/>
      </w:pPr>
      <w:r>
        <w:rPr>
          <w:rFonts w:ascii="Times New Roman"/>
          <w:b w:val="false"/>
          <w:i w:val="false"/>
          <w:color w:val="000000"/>
          <w:sz w:val="28"/>
        </w:rPr>
        <w:t>
      5) лебедки для подъема груза и (или) людей;</w:t>
      </w:r>
    </w:p>
    <w:bookmarkEnd w:id="11"/>
    <w:bookmarkStart w:name="z15" w:id="12"/>
    <w:p>
      <w:pPr>
        <w:spacing w:after="0"/>
        <w:ind w:left="0"/>
        <w:jc w:val="both"/>
      </w:pPr>
      <w:r>
        <w:rPr>
          <w:rFonts w:ascii="Times New Roman"/>
          <w:b w:val="false"/>
          <w:i w:val="false"/>
          <w:color w:val="000000"/>
          <w:sz w:val="28"/>
        </w:rPr>
        <w:t>
      6) сменные грузозахватные органы (крюк, грейфер, грузоподъемный электромагнит).</w:t>
      </w:r>
    </w:p>
    <w:bookmarkEnd w:id="12"/>
    <w:bookmarkStart w:name="z16" w:id="13"/>
    <w:p>
      <w:pPr>
        <w:spacing w:after="0"/>
        <w:ind w:left="0"/>
        <w:jc w:val="both"/>
      </w:pPr>
      <w:r>
        <w:rPr>
          <w:rFonts w:ascii="Times New Roman"/>
          <w:b w:val="false"/>
          <w:i w:val="false"/>
          <w:color w:val="000000"/>
          <w:sz w:val="28"/>
        </w:rPr>
        <w:t>
      4. Настоящий Технический регламент не распространяется на:</w:t>
      </w:r>
    </w:p>
    <w:bookmarkEnd w:id="13"/>
    <w:bookmarkStart w:name="z17" w:id="14"/>
    <w:p>
      <w:pPr>
        <w:spacing w:after="0"/>
        <w:ind w:left="0"/>
        <w:jc w:val="both"/>
      </w:pPr>
      <w:r>
        <w:rPr>
          <w:rFonts w:ascii="Times New Roman"/>
          <w:b w:val="false"/>
          <w:i w:val="false"/>
          <w:color w:val="000000"/>
          <w:sz w:val="28"/>
        </w:rPr>
        <w:t>
      1) подъемно-транспортные средства, установленные в шахтах, на морских и речных судах, иных плавучих сооружениях;</w:t>
      </w:r>
    </w:p>
    <w:bookmarkEnd w:id="14"/>
    <w:bookmarkStart w:name="z18" w:id="15"/>
    <w:p>
      <w:pPr>
        <w:spacing w:after="0"/>
        <w:ind w:left="0"/>
        <w:jc w:val="both"/>
      </w:pPr>
      <w:r>
        <w:rPr>
          <w:rFonts w:ascii="Times New Roman"/>
          <w:b w:val="false"/>
          <w:i w:val="false"/>
          <w:color w:val="000000"/>
          <w:sz w:val="28"/>
        </w:rPr>
        <w:t>
      2) экскаваторы, предназначенные для работы с землеройным оборудованием или грейфером;</w:t>
      </w:r>
    </w:p>
    <w:bookmarkEnd w:id="15"/>
    <w:bookmarkStart w:name="z19" w:id="16"/>
    <w:p>
      <w:pPr>
        <w:spacing w:after="0"/>
        <w:ind w:left="0"/>
        <w:jc w:val="both"/>
      </w:pPr>
      <w:r>
        <w:rPr>
          <w:rFonts w:ascii="Times New Roman"/>
          <w:b w:val="false"/>
          <w:i w:val="false"/>
          <w:color w:val="000000"/>
          <w:sz w:val="28"/>
        </w:rPr>
        <w:t>
      3) краны, предназначенные для работы только с навесным оборудованием (вибропогружателями, шпунтовыдергивателями, люльками, буровым оборудованием);</w:t>
      </w:r>
    </w:p>
    <w:bookmarkEnd w:id="16"/>
    <w:bookmarkStart w:name="z20" w:id="17"/>
    <w:p>
      <w:pPr>
        <w:spacing w:after="0"/>
        <w:ind w:left="0"/>
        <w:jc w:val="both"/>
      </w:pPr>
      <w:r>
        <w:rPr>
          <w:rFonts w:ascii="Times New Roman"/>
          <w:b w:val="false"/>
          <w:i w:val="false"/>
          <w:color w:val="000000"/>
          <w:sz w:val="28"/>
        </w:rPr>
        <w:t>
      4) подъемно-транспортные средства напольные, завалочные и посадочные машины, трубоукладчики, электро- и автопогрузчики, штабелеры, путе- и мостоукладочные машины, манипуляторы;</w:t>
      </w:r>
    </w:p>
    <w:bookmarkEnd w:id="17"/>
    <w:bookmarkStart w:name="z21" w:id="18"/>
    <w:p>
      <w:pPr>
        <w:spacing w:after="0"/>
        <w:ind w:left="0"/>
        <w:jc w:val="both"/>
      </w:pPr>
      <w:r>
        <w:rPr>
          <w:rFonts w:ascii="Times New Roman"/>
          <w:b w:val="false"/>
          <w:i w:val="false"/>
          <w:color w:val="000000"/>
          <w:sz w:val="28"/>
        </w:rPr>
        <w:t>
      5) монтажные полиспасты и конструкции, к которым они подвешиваются (мачты, шевры, балки);</w:t>
      </w:r>
    </w:p>
    <w:bookmarkEnd w:id="18"/>
    <w:bookmarkStart w:name="z22" w:id="19"/>
    <w:p>
      <w:pPr>
        <w:spacing w:after="0"/>
        <w:ind w:left="0"/>
        <w:jc w:val="both"/>
      </w:pPr>
      <w:r>
        <w:rPr>
          <w:rFonts w:ascii="Times New Roman"/>
          <w:b w:val="false"/>
          <w:i w:val="false"/>
          <w:color w:val="000000"/>
          <w:sz w:val="28"/>
        </w:rPr>
        <w:t>
      6) подъемно-транспортные средства военного ведомства;</w:t>
      </w:r>
    </w:p>
    <w:bookmarkEnd w:id="19"/>
    <w:bookmarkStart w:name="z23" w:id="20"/>
    <w:p>
      <w:pPr>
        <w:spacing w:after="0"/>
        <w:ind w:left="0"/>
        <w:jc w:val="both"/>
      </w:pPr>
      <w:r>
        <w:rPr>
          <w:rFonts w:ascii="Times New Roman"/>
          <w:b w:val="false"/>
          <w:i w:val="false"/>
          <w:color w:val="000000"/>
          <w:sz w:val="28"/>
        </w:rPr>
        <w:t>
      7) ручные тали.</w:t>
      </w:r>
    </w:p>
    <w:bookmarkEnd w:id="20"/>
    <w:bookmarkStart w:name="z24" w:id="21"/>
    <w:p>
      <w:pPr>
        <w:spacing w:after="0"/>
        <w:ind w:left="0"/>
        <w:jc w:val="both"/>
      </w:pPr>
      <w:r>
        <w:rPr>
          <w:rFonts w:ascii="Times New Roman"/>
          <w:b w:val="false"/>
          <w:i w:val="false"/>
          <w:color w:val="000000"/>
          <w:sz w:val="28"/>
        </w:rPr>
        <w:t>
      5. Основными опасными факторами (рисками), которых следует избегать, являются:</w:t>
      </w:r>
    </w:p>
    <w:bookmarkEnd w:id="21"/>
    <w:bookmarkStart w:name="z25" w:id="22"/>
    <w:p>
      <w:pPr>
        <w:spacing w:after="0"/>
        <w:ind w:left="0"/>
        <w:jc w:val="both"/>
      </w:pPr>
      <w:r>
        <w:rPr>
          <w:rFonts w:ascii="Times New Roman"/>
          <w:b w:val="false"/>
          <w:i w:val="false"/>
          <w:color w:val="000000"/>
          <w:sz w:val="28"/>
        </w:rPr>
        <w:t>
      1) неустойчивость в рабочем и нерабочем положении;</w:t>
      </w:r>
    </w:p>
    <w:bookmarkEnd w:id="22"/>
    <w:bookmarkStart w:name="z26" w:id="23"/>
    <w:p>
      <w:pPr>
        <w:spacing w:after="0"/>
        <w:ind w:left="0"/>
        <w:jc w:val="both"/>
      </w:pPr>
      <w:r>
        <w:rPr>
          <w:rFonts w:ascii="Times New Roman"/>
          <w:b w:val="false"/>
          <w:i w:val="false"/>
          <w:color w:val="000000"/>
          <w:sz w:val="28"/>
        </w:rPr>
        <w:t>
      2) превышение скорости движения;</w:t>
      </w:r>
    </w:p>
    <w:bookmarkEnd w:id="23"/>
    <w:bookmarkStart w:name="z27" w:id="24"/>
    <w:p>
      <w:pPr>
        <w:spacing w:after="0"/>
        <w:ind w:left="0"/>
        <w:jc w:val="both"/>
      </w:pPr>
      <w:r>
        <w:rPr>
          <w:rFonts w:ascii="Times New Roman"/>
          <w:b w:val="false"/>
          <w:i w:val="false"/>
          <w:color w:val="000000"/>
          <w:sz w:val="28"/>
        </w:rPr>
        <w:t>
      3) превышение угла поворота;</w:t>
      </w:r>
    </w:p>
    <w:bookmarkEnd w:id="24"/>
    <w:bookmarkStart w:name="z28" w:id="25"/>
    <w:p>
      <w:pPr>
        <w:spacing w:after="0"/>
        <w:ind w:left="0"/>
        <w:jc w:val="both"/>
      </w:pPr>
      <w:r>
        <w:rPr>
          <w:rFonts w:ascii="Times New Roman"/>
          <w:b w:val="false"/>
          <w:i w:val="false"/>
          <w:color w:val="000000"/>
          <w:sz w:val="28"/>
        </w:rPr>
        <w:t>
      4) превышение грузоподъемности;</w:t>
      </w:r>
    </w:p>
    <w:bookmarkEnd w:id="25"/>
    <w:bookmarkStart w:name="z29" w:id="26"/>
    <w:p>
      <w:pPr>
        <w:spacing w:after="0"/>
        <w:ind w:left="0"/>
        <w:jc w:val="both"/>
      </w:pPr>
      <w:r>
        <w:rPr>
          <w:rFonts w:ascii="Times New Roman"/>
          <w:b w:val="false"/>
          <w:i w:val="false"/>
          <w:color w:val="000000"/>
          <w:sz w:val="28"/>
        </w:rPr>
        <w:t>
      5) механическое воздействие на персонал;</w:t>
      </w:r>
    </w:p>
    <w:bookmarkEnd w:id="26"/>
    <w:bookmarkStart w:name="z30" w:id="27"/>
    <w:p>
      <w:pPr>
        <w:spacing w:after="0"/>
        <w:ind w:left="0"/>
        <w:jc w:val="both"/>
      </w:pPr>
      <w:r>
        <w:rPr>
          <w:rFonts w:ascii="Times New Roman"/>
          <w:b w:val="false"/>
          <w:i w:val="false"/>
          <w:color w:val="000000"/>
          <w:sz w:val="28"/>
        </w:rPr>
        <w:t>
      6) действующие электроустановки;</w:t>
      </w:r>
    </w:p>
    <w:bookmarkEnd w:id="27"/>
    <w:bookmarkStart w:name="z31" w:id="28"/>
    <w:p>
      <w:pPr>
        <w:spacing w:after="0"/>
        <w:ind w:left="0"/>
        <w:jc w:val="both"/>
      </w:pPr>
      <w:r>
        <w:rPr>
          <w:rFonts w:ascii="Times New Roman"/>
          <w:b w:val="false"/>
          <w:i w:val="false"/>
          <w:color w:val="000000"/>
          <w:sz w:val="28"/>
        </w:rPr>
        <w:t>
      7) ветровые нагрузки;</w:t>
      </w:r>
    </w:p>
    <w:bookmarkEnd w:id="28"/>
    <w:bookmarkStart w:name="z32" w:id="29"/>
    <w:p>
      <w:pPr>
        <w:spacing w:after="0"/>
        <w:ind w:left="0"/>
        <w:jc w:val="both"/>
      </w:pPr>
      <w:r>
        <w:rPr>
          <w:rFonts w:ascii="Times New Roman"/>
          <w:b w:val="false"/>
          <w:i w:val="false"/>
          <w:color w:val="000000"/>
          <w:sz w:val="28"/>
        </w:rPr>
        <w:t>
      8) пожароопасные и взрывоопасные элементы.</w:t>
      </w:r>
    </w:p>
    <w:bookmarkEnd w:id="29"/>
    <w:bookmarkStart w:name="z33" w:id="30"/>
    <w:p>
      <w:pPr>
        <w:spacing w:after="0"/>
        <w:ind w:left="0"/>
        <w:jc w:val="left"/>
      </w:pPr>
      <w:r>
        <w:rPr>
          <w:rFonts w:ascii="Times New Roman"/>
          <w:b/>
          <w:i w:val="false"/>
          <w:color w:val="000000"/>
        </w:rPr>
        <w:t xml:space="preserve"> 2. Термины и определения</w:t>
      </w:r>
    </w:p>
    <w:bookmarkEnd w:id="30"/>
    <w:bookmarkStart w:name="z34" w:id="31"/>
    <w:p>
      <w:pPr>
        <w:spacing w:after="0"/>
        <w:ind w:left="0"/>
        <w:jc w:val="both"/>
      </w:pPr>
      <w:r>
        <w:rPr>
          <w:rFonts w:ascii="Times New Roman"/>
          <w:b w:val="false"/>
          <w:i w:val="false"/>
          <w:color w:val="000000"/>
          <w:sz w:val="28"/>
        </w:rPr>
        <w:t>
      6. В настоящем Техническом регламенте применяются термины и определения, установленные законодательством в области технического регулирования и промышленной безопасности, а также следующие термины с соответствующими определениями:</w:t>
      </w:r>
    </w:p>
    <w:bookmarkEnd w:id="31"/>
    <w:bookmarkStart w:name="z35" w:id="32"/>
    <w:p>
      <w:pPr>
        <w:spacing w:after="0"/>
        <w:ind w:left="0"/>
        <w:jc w:val="both"/>
      </w:pPr>
      <w:r>
        <w:rPr>
          <w:rFonts w:ascii="Times New Roman"/>
          <w:b w:val="false"/>
          <w:i w:val="false"/>
          <w:color w:val="000000"/>
          <w:sz w:val="28"/>
        </w:rPr>
        <w:t>
      1) испытания динамические - испытания подъемно-транспортных средств путем выполнения рабочих движений под нагрузкой, превышающей грузоподъемность подъемно-транспортных средств;</w:t>
      </w:r>
    </w:p>
    <w:bookmarkEnd w:id="32"/>
    <w:bookmarkStart w:name="z36" w:id="33"/>
    <w:p>
      <w:pPr>
        <w:spacing w:after="0"/>
        <w:ind w:left="0"/>
        <w:jc w:val="both"/>
      </w:pPr>
      <w:r>
        <w:rPr>
          <w:rFonts w:ascii="Times New Roman"/>
          <w:b w:val="false"/>
          <w:i w:val="false"/>
          <w:color w:val="000000"/>
          <w:sz w:val="28"/>
        </w:rPr>
        <w:t>
      2) уклон пути - уклон, на котором допускается работа подъемно- транспортного средства;</w:t>
      </w:r>
    </w:p>
    <w:bookmarkEnd w:id="33"/>
    <w:bookmarkStart w:name="z37" w:id="34"/>
    <w:p>
      <w:pPr>
        <w:spacing w:after="0"/>
        <w:ind w:left="0"/>
        <w:jc w:val="both"/>
      </w:pPr>
      <w:r>
        <w:rPr>
          <w:rFonts w:ascii="Times New Roman"/>
          <w:b w:val="false"/>
          <w:i w:val="false"/>
          <w:color w:val="000000"/>
          <w:sz w:val="28"/>
        </w:rPr>
        <w:t>
      3) подъемно-транспортное средство - подъемное устройство цикличного действия с возвратно-поступательным движением грузозахватного органа;</w:t>
      </w:r>
    </w:p>
    <w:bookmarkEnd w:id="34"/>
    <w:bookmarkStart w:name="z38" w:id="35"/>
    <w:p>
      <w:pPr>
        <w:spacing w:after="0"/>
        <w:ind w:left="0"/>
        <w:jc w:val="both"/>
      </w:pPr>
      <w:r>
        <w:rPr>
          <w:rFonts w:ascii="Times New Roman"/>
          <w:b w:val="false"/>
          <w:i w:val="false"/>
          <w:color w:val="000000"/>
          <w:sz w:val="28"/>
        </w:rPr>
        <w:t>
      4) противовес - грузы, прикрепляемые к противовесной консоли или к поворотной платформе для уравновешивания веса рабочего груза и/или отдельных частей подъемно-транспортных средств во время работы;</w:t>
      </w:r>
    </w:p>
    <w:bookmarkEnd w:id="35"/>
    <w:bookmarkStart w:name="z39" w:id="36"/>
    <w:p>
      <w:pPr>
        <w:spacing w:after="0"/>
        <w:ind w:left="0"/>
        <w:jc w:val="both"/>
      </w:pPr>
      <w:r>
        <w:rPr>
          <w:rFonts w:ascii="Times New Roman"/>
          <w:b w:val="false"/>
          <w:i w:val="false"/>
          <w:color w:val="000000"/>
          <w:sz w:val="28"/>
        </w:rPr>
        <w:t>
      5) грузоподъемность полезная - груз массой поднимаемый подъемно-транспортным средством и подвешенный при помощи съемных грузозахватных приспособлений, а в случае их отсутствия подвешенный непосредственно к несъемным грузозахватным приспособлениям;</w:t>
      </w:r>
    </w:p>
    <w:bookmarkEnd w:id="36"/>
    <w:bookmarkStart w:name="z40" w:id="37"/>
    <w:p>
      <w:pPr>
        <w:spacing w:after="0"/>
        <w:ind w:left="0"/>
        <w:jc w:val="both"/>
      </w:pPr>
      <w:r>
        <w:rPr>
          <w:rFonts w:ascii="Times New Roman"/>
          <w:b w:val="false"/>
          <w:i w:val="false"/>
          <w:color w:val="000000"/>
          <w:sz w:val="28"/>
        </w:rPr>
        <w:t>
      6) испытания статические - испытания подъемно-транспортных средств путем статического приложения нагрузки к грузозахватному органу, превышающей грузоподъемность подъемно-транспортных средств.</w:t>
      </w:r>
    </w:p>
    <w:bookmarkEnd w:id="37"/>
    <w:bookmarkStart w:name="z41" w:id="38"/>
    <w:p>
      <w:pPr>
        <w:spacing w:after="0"/>
        <w:ind w:left="0"/>
        <w:jc w:val="left"/>
      </w:pPr>
      <w:r>
        <w:rPr>
          <w:rFonts w:ascii="Times New Roman"/>
          <w:b/>
          <w:i w:val="false"/>
          <w:color w:val="000000"/>
        </w:rPr>
        <w:t xml:space="preserve"> 3. Условия обращения на рынке</w:t>
      </w:r>
    </w:p>
    <w:bookmarkEnd w:id="38"/>
    <w:bookmarkStart w:name="z42" w:id="39"/>
    <w:p>
      <w:pPr>
        <w:spacing w:after="0"/>
        <w:ind w:left="0"/>
        <w:jc w:val="both"/>
      </w:pPr>
      <w:r>
        <w:rPr>
          <w:rFonts w:ascii="Times New Roman"/>
          <w:b w:val="false"/>
          <w:i w:val="false"/>
          <w:color w:val="000000"/>
          <w:sz w:val="28"/>
        </w:rPr>
        <w:t>
      7. Подъемно-транспортные средства (далее - ПТС), допускаются к реализации на рынке, если они соответствуют требованиям настоящего Технического регламента и исключают причинение вреда жизни, здоровью человека и окружающей среде.</w:t>
      </w:r>
    </w:p>
    <w:bookmarkEnd w:id="39"/>
    <w:bookmarkStart w:name="z43" w:id="40"/>
    <w:p>
      <w:pPr>
        <w:spacing w:after="0"/>
        <w:ind w:left="0"/>
        <w:jc w:val="both"/>
      </w:pPr>
      <w:r>
        <w:rPr>
          <w:rFonts w:ascii="Times New Roman"/>
          <w:b w:val="false"/>
          <w:i w:val="false"/>
          <w:color w:val="000000"/>
          <w:sz w:val="28"/>
        </w:rPr>
        <w:t>
      8. Потребителям ПТС предоставляется полная и достоверная информация, приводимая в сопроводительной документации.</w:t>
      </w:r>
    </w:p>
    <w:bookmarkEnd w:id="40"/>
    <w:bookmarkStart w:name="z44" w:id="41"/>
    <w:p>
      <w:pPr>
        <w:spacing w:after="0"/>
        <w:ind w:left="0"/>
        <w:jc w:val="both"/>
      </w:pPr>
      <w:r>
        <w:rPr>
          <w:rFonts w:ascii="Times New Roman"/>
          <w:b w:val="false"/>
          <w:i w:val="false"/>
          <w:color w:val="000000"/>
          <w:sz w:val="28"/>
        </w:rPr>
        <w:t>
      9. Сопроводительная документация должна содержать:</w:t>
      </w:r>
    </w:p>
    <w:bookmarkEnd w:id="41"/>
    <w:bookmarkStart w:name="z45" w:id="42"/>
    <w:p>
      <w:pPr>
        <w:spacing w:after="0"/>
        <w:ind w:left="0"/>
        <w:jc w:val="both"/>
      </w:pPr>
      <w:r>
        <w:rPr>
          <w:rFonts w:ascii="Times New Roman"/>
          <w:b w:val="false"/>
          <w:i w:val="false"/>
          <w:color w:val="000000"/>
          <w:sz w:val="28"/>
        </w:rPr>
        <w:t>
      1) проектные документы и паспорт на продукцию;</w:t>
      </w:r>
    </w:p>
    <w:bookmarkEnd w:id="42"/>
    <w:bookmarkStart w:name="z46" w:id="43"/>
    <w:p>
      <w:pPr>
        <w:spacing w:after="0"/>
        <w:ind w:left="0"/>
        <w:jc w:val="both"/>
      </w:pPr>
      <w:r>
        <w:rPr>
          <w:rFonts w:ascii="Times New Roman"/>
          <w:b w:val="false"/>
          <w:i w:val="false"/>
          <w:color w:val="000000"/>
          <w:sz w:val="28"/>
        </w:rPr>
        <w:t>
      2) инструкцию по монтажу ПТС;</w:t>
      </w:r>
    </w:p>
    <w:bookmarkEnd w:id="43"/>
    <w:bookmarkStart w:name="z47" w:id="44"/>
    <w:p>
      <w:pPr>
        <w:spacing w:after="0"/>
        <w:ind w:left="0"/>
        <w:jc w:val="both"/>
      </w:pPr>
      <w:r>
        <w:rPr>
          <w:rFonts w:ascii="Times New Roman"/>
          <w:b w:val="false"/>
          <w:i w:val="false"/>
          <w:color w:val="000000"/>
          <w:sz w:val="28"/>
        </w:rPr>
        <w:t>
      3) инструкцию по эксплуатации ПТС;</w:t>
      </w:r>
    </w:p>
    <w:bookmarkEnd w:id="44"/>
    <w:bookmarkStart w:name="z48" w:id="45"/>
    <w:p>
      <w:pPr>
        <w:spacing w:after="0"/>
        <w:ind w:left="0"/>
        <w:jc w:val="both"/>
      </w:pPr>
      <w:r>
        <w:rPr>
          <w:rFonts w:ascii="Times New Roman"/>
          <w:b w:val="false"/>
          <w:i w:val="false"/>
          <w:color w:val="000000"/>
          <w:sz w:val="28"/>
        </w:rPr>
        <w:t>
      4) сборочные чертежи ПТС и сборочных единиц;</w:t>
      </w:r>
    </w:p>
    <w:bookmarkEnd w:id="45"/>
    <w:bookmarkStart w:name="z49" w:id="46"/>
    <w:p>
      <w:pPr>
        <w:spacing w:after="0"/>
        <w:ind w:left="0"/>
        <w:jc w:val="both"/>
      </w:pPr>
      <w:r>
        <w:rPr>
          <w:rFonts w:ascii="Times New Roman"/>
          <w:b w:val="false"/>
          <w:i w:val="false"/>
          <w:color w:val="000000"/>
          <w:sz w:val="28"/>
        </w:rPr>
        <w:t>
      5) паспорта на стальные канаты;</w:t>
      </w:r>
    </w:p>
    <w:bookmarkEnd w:id="46"/>
    <w:bookmarkStart w:name="z50" w:id="47"/>
    <w:p>
      <w:pPr>
        <w:spacing w:after="0"/>
        <w:ind w:left="0"/>
        <w:jc w:val="both"/>
      </w:pPr>
      <w:r>
        <w:rPr>
          <w:rFonts w:ascii="Times New Roman"/>
          <w:b w:val="false"/>
          <w:i w:val="false"/>
          <w:color w:val="000000"/>
          <w:sz w:val="28"/>
        </w:rPr>
        <w:t>
      6) паспорта на прокат и крепежные детали;</w:t>
      </w:r>
    </w:p>
    <w:bookmarkEnd w:id="47"/>
    <w:bookmarkStart w:name="z51" w:id="48"/>
    <w:p>
      <w:pPr>
        <w:spacing w:after="0"/>
        <w:ind w:left="0"/>
        <w:jc w:val="both"/>
      </w:pPr>
      <w:r>
        <w:rPr>
          <w:rFonts w:ascii="Times New Roman"/>
          <w:b w:val="false"/>
          <w:i w:val="false"/>
          <w:color w:val="000000"/>
          <w:sz w:val="28"/>
        </w:rPr>
        <w:t>
      7) комплектовочная ведомость.</w:t>
      </w:r>
    </w:p>
    <w:bookmarkEnd w:id="48"/>
    <w:bookmarkStart w:name="z52" w:id="49"/>
    <w:p>
      <w:pPr>
        <w:spacing w:after="0"/>
        <w:ind w:left="0"/>
        <w:jc w:val="both"/>
      </w:pPr>
      <w:r>
        <w:rPr>
          <w:rFonts w:ascii="Times New Roman"/>
          <w:b w:val="false"/>
          <w:i w:val="false"/>
          <w:color w:val="000000"/>
          <w:sz w:val="28"/>
        </w:rPr>
        <w:t>
      10. Инструкция по эксплуатации должна включать:</w:t>
      </w:r>
    </w:p>
    <w:bookmarkEnd w:id="49"/>
    <w:bookmarkStart w:name="z53" w:id="50"/>
    <w:p>
      <w:pPr>
        <w:spacing w:after="0"/>
        <w:ind w:left="0"/>
        <w:jc w:val="both"/>
      </w:pPr>
      <w:r>
        <w:rPr>
          <w:rFonts w:ascii="Times New Roman"/>
          <w:b w:val="false"/>
          <w:i w:val="false"/>
          <w:color w:val="000000"/>
          <w:sz w:val="28"/>
        </w:rPr>
        <w:t>
      1) указания по монтажу, сборке, наладке или регулировке;</w:t>
      </w:r>
    </w:p>
    <w:bookmarkEnd w:id="50"/>
    <w:bookmarkStart w:name="z54" w:id="51"/>
    <w:p>
      <w:pPr>
        <w:spacing w:after="0"/>
        <w:ind w:left="0"/>
        <w:jc w:val="both"/>
      </w:pPr>
      <w:r>
        <w:rPr>
          <w:rFonts w:ascii="Times New Roman"/>
          <w:b w:val="false"/>
          <w:i w:val="false"/>
          <w:color w:val="000000"/>
          <w:sz w:val="28"/>
        </w:rPr>
        <w:t>
      2) указания по штатному использованию ПТС, мерам по обеспечению безопасности, которые необходимо соблюдать при эксплуатации (включая ввод в эксплуатацию, использование по назначению, техническое обслуживание, все виды ремонта и технических свидетельств, средства защиты, транспортировку и хранение);</w:t>
      </w:r>
    </w:p>
    <w:bookmarkEnd w:id="51"/>
    <w:bookmarkStart w:name="z55" w:id="52"/>
    <w:p>
      <w:pPr>
        <w:spacing w:after="0"/>
        <w:ind w:left="0"/>
        <w:jc w:val="both"/>
      </w:pPr>
      <w:r>
        <w:rPr>
          <w:rFonts w:ascii="Times New Roman"/>
          <w:b w:val="false"/>
          <w:i w:val="false"/>
          <w:color w:val="000000"/>
          <w:sz w:val="28"/>
        </w:rPr>
        <w:t>
      3) назначенные показатели срока службы или назначенный ресурс;</w:t>
      </w:r>
    </w:p>
    <w:bookmarkEnd w:id="52"/>
    <w:bookmarkStart w:name="z56" w:id="53"/>
    <w:p>
      <w:pPr>
        <w:spacing w:after="0"/>
        <w:ind w:left="0"/>
        <w:jc w:val="both"/>
      </w:pPr>
      <w:r>
        <w:rPr>
          <w:rFonts w:ascii="Times New Roman"/>
          <w:b w:val="false"/>
          <w:i w:val="false"/>
          <w:color w:val="000000"/>
          <w:sz w:val="28"/>
        </w:rPr>
        <w:t>
      4) перечень критических отказов, возможных ошибок персонала, приводящие к аварии и действий, предотвращающих указанные ошибки;</w:t>
      </w:r>
    </w:p>
    <w:bookmarkEnd w:id="53"/>
    <w:bookmarkStart w:name="z57" w:id="54"/>
    <w:p>
      <w:pPr>
        <w:spacing w:after="0"/>
        <w:ind w:left="0"/>
        <w:jc w:val="both"/>
      </w:pPr>
      <w:r>
        <w:rPr>
          <w:rFonts w:ascii="Times New Roman"/>
          <w:b w:val="false"/>
          <w:i w:val="false"/>
          <w:color w:val="000000"/>
          <w:sz w:val="28"/>
        </w:rPr>
        <w:t>
      5) критерии предельных состояний.</w:t>
      </w:r>
    </w:p>
    <w:bookmarkEnd w:id="54"/>
    <w:bookmarkStart w:name="z58" w:id="55"/>
    <w:p>
      <w:pPr>
        <w:spacing w:after="0"/>
        <w:ind w:left="0"/>
        <w:jc w:val="both"/>
      </w:pPr>
      <w:r>
        <w:rPr>
          <w:rFonts w:ascii="Times New Roman"/>
          <w:b w:val="false"/>
          <w:i w:val="false"/>
          <w:color w:val="000000"/>
          <w:sz w:val="28"/>
        </w:rPr>
        <w:t xml:space="preserve">
      11. Маркировка проводится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марта 2008 года № 277 "Об утверждении Технического регламента "Требования к упаковке, маркировке, этикетированию и правильному их нанесению".</w:t>
      </w:r>
    </w:p>
    <w:bookmarkEnd w:id="55"/>
    <w:bookmarkStart w:name="z59" w:id="56"/>
    <w:p>
      <w:pPr>
        <w:spacing w:after="0"/>
        <w:ind w:left="0"/>
        <w:jc w:val="both"/>
      </w:pPr>
      <w:r>
        <w:rPr>
          <w:rFonts w:ascii="Times New Roman"/>
          <w:b w:val="false"/>
          <w:i w:val="false"/>
          <w:color w:val="000000"/>
          <w:sz w:val="28"/>
        </w:rPr>
        <w:t>
      12. ПТС, а при необходимости отдельные сборочные единицы должны иметь четкую и нестираемую маркировку.</w:t>
      </w:r>
    </w:p>
    <w:bookmarkEnd w:id="56"/>
    <w:bookmarkStart w:name="z60" w:id="57"/>
    <w:p>
      <w:pPr>
        <w:spacing w:after="0"/>
        <w:ind w:left="0"/>
        <w:jc w:val="left"/>
      </w:pPr>
      <w:r>
        <w:rPr>
          <w:rFonts w:ascii="Times New Roman"/>
          <w:b/>
          <w:i w:val="false"/>
          <w:color w:val="000000"/>
        </w:rPr>
        <w:t xml:space="preserve"> 4. Требования к безопасности</w:t>
      </w:r>
    </w:p>
    <w:bookmarkEnd w:id="57"/>
    <w:bookmarkStart w:name="z61" w:id="58"/>
    <w:p>
      <w:pPr>
        <w:spacing w:after="0"/>
        <w:ind w:left="0"/>
        <w:jc w:val="both"/>
      </w:pPr>
      <w:r>
        <w:rPr>
          <w:rFonts w:ascii="Times New Roman"/>
          <w:b w:val="false"/>
          <w:i w:val="false"/>
          <w:color w:val="000000"/>
          <w:sz w:val="28"/>
        </w:rPr>
        <w:t>
      13. Возможность работы ПТС во взрывопожароопасной среде (с указанием категории среды) должна быть указана в паспорте.</w:t>
      </w:r>
    </w:p>
    <w:bookmarkEnd w:id="58"/>
    <w:bookmarkStart w:name="z62" w:id="59"/>
    <w:p>
      <w:pPr>
        <w:spacing w:after="0"/>
        <w:ind w:left="0"/>
        <w:jc w:val="both"/>
      </w:pPr>
      <w:r>
        <w:rPr>
          <w:rFonts w:ascii="Times New Roman"/>
          <w:b w:val="false"/>
          <w:i w:val="false"/>
          <w:color w:val="000000"/>
          <w:sz w:val="28"/>
        </w:rPr>
        <w:t>
      14. ПТС, их узлы, механизмы, станции управления, системы защиты и приборы безопасности, должны соответствовать требованиям настоящего Технического регламента.</w:t>
      </w:r>
    </w:p>
    <w:bookmarkEnd w:id="59"/>
    <w:bookmarkStart w:name="z63" w:id="60"/>
    <w:p>
      <w:pPr>
        <w:spacing w:after="0"/>
        <w:ind w:left="0"/>
        <w:jc w:val="both"/>
      </w:pPr>
      <w:r>
        <w:rPr>
          <w:rFonts w:ascii="Times New Roman"/>
          <w:b w:val="false"/>
          <w:i w:val="false"/>
          <w:color w:val="000000"/>
          <w:sz w:val="28"/>
        </w:rPr>
        <w:t>
      15. Самоходные ПТС должны быть устойчивы в рабочем и нерабочем положении.</w:t>
      </w:r>
    </w:p>
    <w:bookmarkEnd w:id="60"/>
    <w:bookmarkStart w:name="z64" w:id="61"/>
    <w:p>
      <w:pPr>
        <w:spacing w:after="0"/>
        <w:ind w:left="0"/>
        <w:jc w:val="both"/>
      </w:pPr>
      <w:r>
        <w:rPr>
          <w:rFonts w:ascii="Times New Roman"/>
          <w:b w:val="false"/>
          <w:i w:val="false"/>
          <w:color w:val="000000"/>
          <w:sz w:val="28"/>
        </w:rPr>
        <w:t>
      16. Уклон пути грузовых тележек у козловых и консольных ПТС при наиболее неблагоприятном положении тележки с наибольшим рабочим грузом не должен превышать 0,003</w:t>
      </w:r>
      <w:r>
        <w:rPr>
          <w:rFonts w:ascii="Times New Roman"/>
          <w:b w:val="false"/>
          <w:i w:val="false"/>
          <w:color w:val="000000"/>
          <w:vertAlign w:val="superscript"/>
        </w:rPr>
        <w:t>о</w:t>
      </w:r>
      <w:r>
        <w:rPr>
          <w:rFonts w:ascii="Times New Roman"/>
          <w:b w:val="false"/>
          <w:i w:val="false"/>
          <w:color w:val="000000"/>
          <w:sz w:val="28"/>
        </w:rPr>
        <w:t>. Указанная норма уклона не относится к ПТС, у которых механизм передвижения тележки оборудован автоматическим тормозом закрытого типа, или у которых тележка перемещается канатной тягой.</w:t>
      </w:r>
    </w:p>
    <w:bookmarkEnd w:id="61"/>
    <w:bookmarkStart w:name="z65" w:id="62"/>
    <w:p>
      <w:pPr>
        <w:spacing w:after="0"/>
        <w:ind w:left="0"/>
        <w:jc w:val="both"/>
      </w:pPr>
      <w:r>
        <w:rPr>
          <w:rFonts w:ascii="Times New Roman"/>
          <w:b w:val="false"/>
          <w:i w:val="false"/>
          <w:color w:val="000000"/>
          <w:sz w:val="28"/>
        </w:rPr>
        <w:t>
      17. Механизмы подъема груза и изменения вылета должны быть выполнены так, чтобы опускание груза или стрелы осуществлялось только двигателем.</w:t>
      </w:r>
    </w:p>
    <w:bookmarkEnd w:id="62"/>
    <w:bookmarkStart w:name="z66" w:id="63"/>
    <w:p>
      <w:pPr>
        <w:spacing w:after="0"/>
        <w:ind w:left="0"/>
        <w:jc w:val="both"/>
      </w:pPr>
      <w:r>
        <w:rPr>
          <w:rFonts w:ascii="Times New Roman"/>
          <w:b w:val="false"/>
          <w:i w:val="false"/>
          <w:color w:val="000000"/>
          <w:sz w:val="28"/>
        </w:rPr>
        <w:t>
      Механизмы ПТС, оборудованные кулачковыми, фрикционными или другими механическими приспособлениями для их включения или переключения скоростей рабочих движений, должны быть устроены таким образом, чтобы самопроизвольное включение или расцепление механизма было невозможно. У лебедок подъема груза и стрелы, должна быть исключена возможность отключения привода без наложения тормоза.</w:t>
      </w:r>
    </w:p>
    <w:bookmarkEnd w:id="63"/>
    <w:bookmarkStart w:name="z67" w:id="64"/>
    <w:p>
      <w:pPr>
        <w:spacing w:after="0"/>
        <w:ind w:left="0"/>
        <w:jc w:val="both"/>
      </w:pPr>
      <w:r>
        <w:rPr>
          <w:rFonts w:ascii="Times New Roman"/>
          <w:b w:val="false"/>
          <w:i w:val="false"/>
          <w:color w:val="000000"/>
          <w:sz w:val="28"/>
        </w:rPr>
        <w:t>
      18. Применение фрикционных и кулачковых муфт включения в механизмах, предназначенных для подъема людей, расплавленного металла или шлака, ядовитых и взрывчатых веществ, в механизмах с электроприводом не допускается, за исключением:</w:t>
      </w:r>
    </w:p>
    <w:bookmarkEnd w:id="64"/>
    <w:bookmarkStart w:name="z68" w:id="65"/>
    <w:p>
      <w:pPr>
        <w:spacing w:after="0"/>
        <w:ind w:left="0"/>
        <w:jc w:val="both"/>
      </w:pPr>
      <w:r>
        <w:rPr>
          <w:rFonts w:ascii="Times New Roman"/>
          <w:b w:val="false"/>
          <w:i w:val="false"/>
          <w:color w:val="000000"/>
          <w:sz w:val="28"/>
        </w:rPr>
        <w:t>
      1) механизма передвижения или поворота, имеющего несколько диапазонов скоростей для переключения с одной скорости на другую;</w:t>
      </w:r>
    </w:p>
    <w:bookmarkEnd w:id="65"/>
    <w:bookmarkStart w:name="z69" w:id="66"/>
    <w:p>
      <w:pPr>
        <w:spacing w:after="0"/>
        <w:ind w:left="0"/>
        <w:jc w:val="both"/>
      </w:pPr>
      <w:r>
        <w:rPr>
          <w:rFonts w:ascii="Times New Roman"/>
          <w:b w:val="false"/>
          <w:i w:val="false"/>
          <w:color w:val="000000"/>
          <w:sz w:val="28"/>
        </w:rPr>
        <w:t>
      2) механизма передвижения гусеничных ПТС с общим приводом двух гусениц для раздельного управления ими.</w:t>
      </w:r>
    </w:p>
    <w:bookmarkEnd w:id="66"/>
    <w:bookmarkStart w:name="z70" w:id="67"/>
    <w:p>
      <w:pPr>
        <w:spacing w:after="0"/>
        <w:ind w:left="0"/>
        <w:jc w:val="both"/>
      </w:pPr>
      <w:r>
        <w:rPr>
          <w:rFonts w:ascii="Times New Roman"/>
          <w:b w:val="false"/>
          <w:i w:val="false"/>
          <w:color w:val="000000"/>
          <w:sz w:val="28"/>
        </w:rPr>
        <w:t>
      Тормоз должен иметь неразмыкаемую кинематическую связь с поворотной частью ПТС, гусеницами или колесами.</w:t>
      </w:r>
    </w:p>
    <w:bookmarkEnd w:id="67"/>
    <w:bookmarkStart w:name="z71" w:id="68"/>
    <w:p>
      <w:pPr>
        <w:spacing w:after="0"/>
        <w:ind w:left="0"/>
        <w:jc w:val="both"/>
      </w:pPr>
      <w:r>
        <w:rPr>
          <w:rFonts w:ascii="Times New Roman"/>
          <w:b w:val="false"/>
          <w:i w:val="false"/>
          <w:color w:val="000000"/>
          <w:sz w:val="28"/>
        </w:rPr>
        <w:t>
      19. В узлах механизмов ПТС, передающих крутящий момент, должны применяться шлицевые, шпоночные и (или) болтовые соединения.</w:t>
      </w:r>
    </w:p>
    <w:bookmarkEnd w:id="68"/>
    <w:bookmarkStart w:name="z72" w:id="69"/>
    <w:p>
      <w:pPr>
        <w:spacing w:after="0"/>
        <w:ind w:left="0"/>
        <w:jc w:val="both"/>
      </w:pPr>
      <w:r>
        <w:rPr>
          <w:rFonts w:ascii="Times New Roman"/>
          <w:b w:val="false"/>
          <w:i w:val="false"/>
          <w:color w:val="000000"/>
          <w:sz w:val="28"/>
        </w:rPr>
        <w:t>
      20. Болтовые, шпоночные и (или) клиновые соединения ПТС должны быть предохранены от произвольного развинчивания или разъединения.</w:t>
      </w:r>
    </w:p>
    <w:bookmarkEnd w:id="69"/>
    <w:bookmarkStart w:name="z73" w:id="70"/>
    <w:p>
      <w:pPr>
        <w:spacing w:after="0"/>
        <w:ind w:left="0"/>
        <w:jc w:val="both"/>
      </w:pPr>
      <w:r>
        <w:rPr>
          <w:rFonts w:ascii="Times New Roman"/>
          <w:b w:val="false"/>
          <w:i w:val="false"/>
          <w:color w:val="000000"/>
          <w:sz w:val="28"/>
        </w:rPr>
        <w:t>
      21. У ПТС, имеющих выдвижные стрелы и (или) башни, должна быть предусмотрена надежная фиксация выдвинутой конструкции.</w:t>
      </w:r>
    </w:p>
    <w:bookmarkEnd w:id="70"/>
    <w:bookmarkStart w:name="z74" w:id="71"/>
    <w:p>
      <w:pPr>
        <w:spacing w:after="0"/>
        <w:ind w:left="0"/>
        <w:jc w:val="both"/>
      </w:pPr>
      <w:r>
        <w:rPr>
          <w:rFonts w:ascii="Times New Roman"/>
          <w:b w:val="false"/>
          <w:i w:val="false"/>
          <w:color w:val="000000"/>
          <w:sz w:val="28"/>
        </w:rPr>
        <w:t>
      22. Канатные, цепные тали и полиспасты ПТС должны исключать самопроизвольное спадание каната (цепи) с тали, заклинивание каната (цепи) между блоком и осью (звездочкой и осью).</w:t>
      </w:r>
    </w:p>
    <w:bookmarkEnd w:id="71"/>
    <w:bookmarkStart w:name="z75" w:id="72"/>
    <w:p>
      <w:pPr>
        <w:spacing w:after="0"/>
        <w:ind w:left="0"/>
        <w:jc w:val="both"/>
      </w:pPr>
      <w:r>
        <w:rPr>
          <w:rFonts w:ascii="Times New Roman"/>
          <w:b w:val="false"/>
          <w:i w:val="false"/>
          <w:color w:val="000000"/>
          <w:sz w:val="28"/>
        </w:rPr>
        <w:t>
      23. При применении сдвоенного полиспаста, установка уравнительного блока или балансира обязательна.</w:t>
      </w:r>
    </w:p>
    <w:bookmarkEnd w:id="72"/>
    <w:bookmarkStart w:name="z76" w:id="73"/>
    <w:p>
      <w:pPr>
        <w:spacing w:after="0"/>
        <w:ind w:left="0"/>
        <w:jc w:val="both"/>
      </w:pPr>
      <w:r>
        <w:rPr>
          <w:rFonts w:ascii="Times New Roman"/>
          <w:b w:val="false"/>
          <w:i w:val="false"/>
          <w:color w:val="000000"/>
          <w:sz w:val="28"/>
        </w:rPr>
        <w:t>
      24. Металлоконструкции и металлические детали ПТС должны быть предохранены от коррозии.</w:t>
      </w:r>
    </w:p>
    <w:bookmarkEnd w:id="73"/>
    <w:bookmarkStart w:name="z77" w:id="74"/>
    <w:p>
      <w:pPr>
        <w:spacing w:after="0"/>
        <w:ind w:left="0"/>
        <w:jc w:val="both"/>
      </w:pPr>
      <w:r>
        <w:rPr>
          <w:rFonts w:ascii="Times New Roman"/>
          <w:b w:val="false"/>
          <w:i w:val="false"/>
          <w:color w:val="000000"/>
          <w:sz w:val="28"/>
        </w:rPr>
        <w:t>
      25. К механизмам, предохранительным устройствам, электрооборудованию, элементам металлоконструкций ПТС, требующим технического обслуживания, должен быть обеспечен безопасный доступ. Для этой цели устраиваются галереи, площадки, лестницы. При отсутствии площадок и лестниц для обслуживания блоков и приборов безопасности на стреле должна быть предусмотрена возможность ее опускания.</w:t>
      </w:r>
    </w:p>
    <w:bookmarkEnd w:id="74"/>
    <w:bookmarkStart w:name="z78" w:id="75"/>
    <w:p>
      <w:pPr>
        <w:spacing w:after="0"/>
        <w:ind w:left="0"/>
        <w:jc w:val="both"/>
      </w:pPr>
      <w:r>
        <w:rPr>
          <w:rFonts w:ascii="Times New Roman"/>
          <w:b w:val="false"/>
          <w:i w:val="false"/>
          <w:color w:val="000000"/>
          <w:sz w:val="28"/>
        </w:rPr>
        <w:t>
      26. Для ПТС с гидравлическим приводом должны быть обеспечены автоматическая остановка и фиксация механизмов (поворота, грузовой и стреловой лебедок, подъема стрелы и выносных опор, выдвижения секций стрелы) при разрыве трубопроводов или падении давления в гидросистеме. Для ПТС-манипуляторов автоматическая остановка механизмов должна обеспечиваться при обрыве гибких трубопроводов.</w:t>
      </w:r>
    </w:p>
    <w:bookmarkEnd w:id="75"/>
    <w:bookmarkStart w:name="z79" w:id="76"/>
    <w:p>
      <w:pPr>
        <w:spacing w:after="0"/>
        <w:ind w:left="0"/>
        <w:jc w:val="both"/>
      </w:pPr>
      <w:r>
        <w:rPr>
          <w:rFonts w:ascii="Times New Roman"/>
          <w:b w:val="false"/>
          <w:i w:val="false"/>
          <w:color w:val="000000"/>
          <w:sz w:val="28"/>
        </w:rPr>
        <w:t>
      27. Гидросистема ПТС обеспечивает возможность контроля давления в каждом рабочем контуре и возможность замены гидроагрегатов, шлангов, фильтров без слива рабочей жидкости из бака.</w:t>
      </w:r>
    </w:p>
    <w:bookmarkEnd w:id="76"/>
    <w:bookmarkStart w:name="z80" w:id="77"/>
    <w:p>
      <w:pPr>
        <w:spacing w:after="0"/>
        <w:ind w:left="0"/>
        <w:jc w:val="both"/>
      </w:pPr>
      <w:r>
        <w:rPr>
          <w:rFonts w:ascii="Times New Roman"/>
          <w:b w:val="false"/>
          <w:i w:val="false"/>
          <w:color w:val="000000"/>
          <w:sz w:val="28"/>
        </w:rPr>
        <w:t>
      28. ПТС должны быть оборудованы устройствами для учета наработки в моточасах, позволяющие определять остаточный ресурс ПТС в процессе его эксплуатации.</w:t>
      </w:r>
    </w:p>
    <w:bookmarkEnd w:id="77"/>
    <w:bookmarkStart w:name="z81" w:id="78"/>
    <w:p>
      <w:pPr>
        <w:spacing w:after="0"/>
        <w:ind w:left="0"/>
        <w:jc w:val="left"/>
      </w:pPr>
      <w:r>
        <w:rPr>
          <w:rFonts w:ascii="Times New Roman"/>
          <w:b/>
          <w:i w:val="false"/>
          <w:color w:val="000000"/>
        </w:rPr>
        <w:t xml:space="preserve"> 5. Требования к монтажу, реконструкции и ремонту ПТС</w:t>
      </w:r>
    </w:p>
    <w:bookmarkEnd w:id="78"/>
    <w:bookmarkStart w:name="z82" w:id="79"/>
    <w:p>
      <w:pPr>
        <w:spacing w:after="0"/>
        <w:ind w:left="0"/>
        <w:jc w:val="both"/>
      </w:pPr>
      <w:r>
        <w:rPr>
          <w:rFonts w:ascii="Times New Roman"/>
          <w:b w:val="false"/>
          <w:i w:val="false"/>
          <w:color w:val="000000"/>
          <w:sz w:val="28"/>
        </w:rPr>
        <w:t>
      29. Предварительные испытания организует и проводит изготовитель опытного образца ПТС по программе и методике, определенной проектной документацией.</w:t>
      </w:r>
    </w:p>
    <w:bookmarkEnd w:id="79"/>
    <w:bookmarkStart w:name="z83" w:id="80"/>
    <w:p>
      <w:pPr>
        <w:spacing w:after="0"/>
        <w:ind w:left="0"/>
        <w:jc w:val="both"/>
      </w:pPr>
      <w:r>
        <w:rPr>
          <w:rFonts w:ascii="Times New Roman"/>
          <w:b w:val="false"/>
          <w:i w:val="false"/>
          <w:color w:val="000000"/>
          <w:sz w:val="28"/>
        </w:rPr>
        <w:t>
      30. Участие в испытаниях ПТС представителя организации, разработавшей проектную документацию, обязательно.</w:t>
      </w:r>
    </w:p>
    <w:bookmarkEnd w:id="80"/>
    <w:bookmarkStart w:name="z84" w:id="81"/>
    <w:p>
      <w:pPr>
        <w:spacing w:after="0"/>
        <w:ind w:left="0"/>
        <w:jc w:val="both"/>
      </w:pPr>
      <w:r>
        <w:rPr>
          <w:rFonts w:ascii="Times New Roman"/>
          <w:b w:val="false"/>
          <w:i w:val="false"/>
          <w:color w:val="000000"/>
          <w:sz w:val="28"/>
        </w:rPr>
        <w:t>
      31. Программами должны быть предусмотрены испытания на соответствие ПТС паспортным данным, визуальный осмотр, статические и динамические испытания, испытание стреловых самоходных ПТС на устойчивость.</w:t>
      </w:r>
    </w:p>
    <w:bookmarkEnd w:id="81"/>
    <w:bookmarkStart w:name="z85" w:id="82"/>
    <w:p>
      <w:pPr>
        <w:spacing w:after="0"/>
        <w:ind w:left="0"/>
        <w:jc w:val="both"/>
      </w:pPr>
      <w:r>
        <w:rPr>
          <w:rFonts w:ascii="Times New Roman"/>
          <w:b w:val="false"/>
          <w:i w:val="false"/>
          <w:color w:val="000000"/>
          <w:sz w:val="28"/>
        </w:rPr>
        <w:t>
      32. Результаты предварительных и приемочных испытаний опытного образца ПТС оформляются актом, в котором указываются рекомендации по конструкции ПТС.</w:t>
      </w:r>
    </w:p>
    <w:bookmarkEnd w:id="82"/>
    <w:bookmarkStart w:name="z86" w:id="83"/>
    <w:p>
      <w:pPr>
        <w:spacing w:after="0"/>
        <w:ind w:left="0"/>
        <w:jc w:val="both"/>
      </w:pPr>
      <w:r>
        <w:rPr>
          <w:rFonts w:ascii="Times New Roman"/>
          <w:b w:val="false"/>
          <w:i w:val="false"/>
          <w:color w:val="000000"/>
          <w:sz w:val="28"/>
        </w:rPr>
        <w:t>
      33. Сварочные материалы, применяемые для сварки стальных конструкций ПТС, должны обеспечивать механические свойства металла шва и сварного соединения (предел прочности, предел текучести, относительное удлинение, угол загиба, ударная вязкость) не ниже нижнего предельного показателя установленного для данной марки стали. Это требование распространяется на приварку перил, лестниц и площадок.</w:t>
      </w:r>
    </w:p>
    <w:bookmarkEnd w:id="83"/>
    <w:bookmarkStart w:name="z87" w:id="84"/>
    <w:p>
      <w:pPr>
        <w:spacing w:after="0"/>
        <w:ind w:left="0"/>
        <w:jc w:val="both"/>
      </w:pPr>
      <w:r>
        <w:rPr>
          <w:rFonts w:ascii="Times New Roman"/>
          <w:b w:val="false"/>
          <w:i w:val="false"/>
          <w:color w:val="000000"/>
          <w:sz w:val="28"/>
        </w:rPr>
        <w:t>
      При применении в одном соединении сталей разных марок механические свойства наплавленного металла должны соответствовать свойствам стали с большим пределом прочности.</w:t>
      </w:r>
    </w:p>
    <w:bookmarkEnd w:id="84"/>
    <w:bookmarkStart w:name="z88" w:id="85"/>
    <w:p>
      <w:pPr>
        <w:spacing w:after="0"/>
        <w:ind w:left="0"/>
        <w:jc w:val="both"/>
      </w:pPr>
      <w:r>
        <w:rPr>
          <w:rFonts w:ascii="Times New Roman"/>
          <w:b w:val="false"/>
          <w:i w:val="false"/>
          <w:color w:val="000000"/>
          <w:sz w:val="28"/>
        </w:rPr>
        <w:t>
      Марки присадочных материалов, флюсов и защитных газов должны быть указаны в конструкторской документации на изготовление, ремонт или реконструкцию ПТС.</w:t>
      </w:r>
    </w:p>
    <w:bookmarkEnd w:id="85"/>
    <w:bookmarkStart w:name="z89" w:id="86"/>
    <w:p>
      <w:pPr>
        <w:spacing w:after="0"/>
        <w:ind w:left="0"/>
        <w:jc w:val="both"/>
      </w:pPr>
      <w:r>
        <w:rPr>
          <w:rFonts w:ascii="Times New Roman"/>
          <w:b w:val="false"/>
          <w:i w:val="false"/>
          <w:color w:val="000000"/>
          <w:sz w:val="28"/>
        </w:rPr>
        <w:t>
      34. Контроль качества сварных соединений, проводимый при изготовлении, монтаже, реконструкции и ремонте ПТС должен осуществляться внешним осмотром и измерением, механическими испытаниями методами неразрушающего контроля, предусмотренными конструкторской документацией.</w:t>
      </w:r>
    </w:p>
    <w:bookmarkEnd w:id="86"/>
    <w:bookmarkStart w:name="z90" w:id="87"/>
    <w:p>
      <w:pPr>
        <w:spacing w:after="0"/>
        <w:ind w:left="0"/>
        <w:jc w:val="both"/>
      </w:pPr>
      <w:r>
        <w:rPr>
          <w:rFonts w:ascii="Times New Roman"/>
          <w:b w:val="false"/>
          <w:i w:val="false"/>
          <w:color w:val="000000"/>
          <w:sz w:val="28"/>
        </w:rPr>
        <w:t>
      35. Контроль качества сварных соединений должен производиться после проведения термической обработки (если она является обязательной для данного сварного соединения).</w:t>
      </w:r>
    </w:p>
    <w:bookmarkEnd w:id="87"/>
    <w:bookmarkStart w:name="z91" w:id="88"/>
    <w:p>
      <w:pPr>
        <w:spacing w:after="0"/>
        <w:ind w:left="0"/>
        <w:jc w:val="both"/>
      </w:pPr>
      <w:r>
        <w:rPr>
          <w:rFonts w:ascii="Times New Roman"/>
          <w:b w:val="false"/>
          <w:i w:val="false"/>
          <w:color w:val="000000"/>
          <w:sz w:val="28"/>
        </w:rPr>
        <w:t>
      Результаты контроля сварных соединений должны быть зафиксированы.</w:t>
      </w:r>
    </w:p>
    <w:bookmarkEnd w:id="88"/>
    <w:bookmarkStart w:name="z92" w:id="89"/>
    <w:p>
      <w:pPr>
        <w:spacing w:after="0"/>
        <w:ind w:left="0"/>
        <w:jc w:val="both"/>
      </w:pPr>
      <w:r>
        <w:rPr>
          <w:rFonts w:ascii="Times New Roman"/>
          <w:b w:val="false"/>
          <w:i w:val="false"/>
          <w:color w:val="000000"/>
          <w:sz w:val="28"/>
        </w:rPr>
        <w:t>
      36. При выявлении во время неразрушающего контроля недопустимых дефектов в сварных соединениях контролю должно быть подвергнуто все соединение. Дефектные участки сварных швов, выявленные при контроле, должны быть удалены механическим способом и переварены.</w:t>
      </w:r>
    </w:p>
    <w:bookmarkEnd w:id="89"/>
    <w:bookmarkStart w:name="z93" w:id="90"/>
    <w:p>
      <w:pPr>
        <w:spacing w:after="0"/>
        <w:ind w:left="0"/>
        <w:jc w:val="both"/>
      </w:pPr>
      <w:r>
        <w:rPr>
          <w:rFonts w:ascii="Times New Roman"/>
          <w:b w:val="false"/>
          <w:i w:val="false"/>
          <w:color w:val="000000"/>
          <w:sz w:val="28"/>
        </w:rPr>
        <w:t>
      37.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w:t>
      </w:r>
    </w:p>
    <w:bookmarkEnd w:id="90"/>
    <w:bookmarkStart w:name="z94" w:id="91"/>
    <w:p>
      <w:pPr>
        <w:spacing w:after="0"/>
        <w:ind w:left="0"/>
        <w:jc w:val="left"/>
      </w:pPr>
      <w:r>
        <w:rPr>
          <w:rFonts w:ascii="Times New Roman"/>
          <w:b/>
          <w:i w:val="false"/>
          <w:color w:val="000000"/>
        </w:rPr>
        <w:t xml:space="preserve"> 6. Требования к грузозахватным органам ПТС</w:t>
      </w:r>
    </w:p>
    <w:bookmarkEnd w:id="91"/>
    <w:bookmarkStart w:name="z95" w:id="92"/>
    <w:p>
      <w:pPr>
        <w:spacing w:after="0"/>
        <w:ind w:left="0"/>
        <w:jc w:val="both"/>
      </w:pPr>
      <w:r>
        <w:rPr>
          <w:rFonts w:ascii="Times New Roman"/>
          <w:b w:val="false"/>
          <w:i w:val="false"/>
          <w:color w:val="000000"/>
          <w:sz w:val="28"/>
        </w:rPr>
        <w:t>
      38. Грузовые крюки ПТС должны быть снабжены предохранительным замком, предотвращающим самопроизвольное выпадание съемного грузозахватного приспособления. Грузовые крюки ПТС, транспортирующих расплавленный металл или жидкий шлак, допускается не снабжать предохранительными замками.</w:t>
      </w:r>
    </w:p>
    <w:bookmarkEnd w:id="92"/>
    <w:bookmarkStart w:name="z96" w:id="93"/>
    <w:p>
      <w:pPr>
        <w:spacing w:after="0"/>
        <w:ind w:left="0"/>
        <w:jc w:val="both"/>
      </w:pPr>
      <w:r>
        <w:rPr>
          <w:rFonts w:ascii="Times New Roman"/>
          <w:b w:val="false"/>
          <w:i w:val="false"/>
          <w:color w:val="000000"/>
          <w:sz w:val="28"/>
        </w:rPr>
        <w:t>
      39. Грузовые крюки должны снабжаться паспортом с указанием изготовителя, номера крюка, грузоподъемности и материала, из которого он изготовлен.</w:t>
      </w:r>
    </w:p>
    <w:bookmarkEnd w:id="93"/>
    <w:bookmarkStart w:name="z97" w:id="94"/>
    <w:p>
      <w:pPr>
        <w:spacing w:after="0"/>
        <w:ind w:left="0"/>
        <w:jc w:val="both"/>
      </w:pPr>
      <w:r>
        <w:rPr>
          <w:rFonts w:ascii="Times New Roman"/>
          <w:b w:val="false"/>
          <w:i w:val="false"/>
          <w:color w:val="000000"/>
          <w:sz w:val="28"/>
        </w:rPr>
        <w:t>
      40. Конструкция канатного грейфера должна исключать самопроизвольное раскрытие и возможность выхода канатов из ручьев блоков.</w:t>
      </w:r>
    </w:p>
    <w:bookmarkEnd w:id="94"/>
    <w:bookmarkStart w:name="z98" w:id="95"/>
    <w:p>
      <w:pPr>
        <w:spacing w:after="0"/>
        <w:ind w:left="0"/>
        <w:jc w:val="both"/>
      </w:pPr>
      <w:r>
        <w:rPr>
          <w:rFonts w:ascii="Times New Roman"/>
          <w:b w:val="false"/>
          <w:i w:val="false"/>
          <w:color w:val="000000"/>
          <w:sz w:val="28"/>
        </w:rPr>
        <w:t>
      Грузоподъемность грейфера определяется взвешиванием материала после пробного зачерпывания, проводимого владельцем грейфера перед его применением.</w:t>
      </w:r>
    </w:p>
    <w:bookmarkEnd w:id="95"/>
    <w:bookmarkStart w:name="z99" w:id="96"/>
    <w:p>
      <w:pPr>
        <w:spacing w:after="0"/>
        <w:ind w:left="0"/>
        <w:jc w:val="both"/>
      </w:pPr>
      <w:r>
        <w:rPr>
          <w:rFonts w:ascii="Times New Roman"/>
          <w:b w:val="false"/>
          <w:i w:val="false"/>
          <w:color w:val="000000"/>
          <w:sz w:val="28"/>
        </w:rPr>
        <w:t>
      41. Грейфер должен быть снабжен табличкой с указанием организации-изготовителя,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 При повреждении заводской таблички она должна быть восстановлена владельцем грейфера.</w:t>
      </w:r>
    </w:p>
    <w:bookmarkEnd w:id="96"/>
    <w:bookmarkStart w:name="z100" w:id="97"/>
    <w:p>
      <w:pPr>
        <w:spacing w:after="0"/>
        <w:ind w:left="0"/>
        <w:jc w:val="both"/>
      </w:pPr>
      <w:r>
        <w:rPr>
          <w:rFonts w:ascii="Times New Roman"/>
          <w:b w:val="false"/>
          <w:i w:val="false"/>
          <w:color w:val="000000"/>
          <w:sz w:val="28"/>
        </w:rPr>
        <w:t>
      Отдельно изготовляемые грейферы должны снабжаться, помимо таблички, паспортом.</w:t>
      </w:r>
    </w:p>
    <w:bookmarkEnd w:id="97"/>
    <w:bookmarkStart w:name="z101" w:id="98"/>
    <w:p>
      <w:pPr>
        <w:spacing w:after="0"/>
        <w:ind w:left="0"/>
        <w:jc w:val="left"/>
      </w:pPr>
      <w:r>
        <w:rPr>
          <w:rFonts w:ascii="Times New Roman"/>
          <w:b/>
          <w:i w:val="false"/>
          <w:color w:val="000000"/>
        </w:rPr>
        <w:t xml:space="preserve"> 7. Требования к канатам</w:t>
      </w:r>
    </w:p>
    <w:bookmarkEnd w:id="98"/>
    <w:bookmarkStart w:name="z102" w:id="99"/>
    <w:p>
      <w:pPr>
        <w:spacing w:after="0"/>
        <w:ind w:left="0"/>
        <w:jc w:val="both"/>
      </w:pPr>
      <w:r>
        <w:rPr>
          <w:rFonts w:ascii="Times New Roman"/>
          <w:b w:val="false"/>
          <w:i w:val="false"/>
          <w:color w:val="000000"/>
          <w:sz w:val="28"/>
        </w:rPr>
        <w:t>
      42. Стальные канаты, применяемые в качестве грузовых, стреловых, вантовых, несущих, тяговых должны быть подвергнуты испытанию в соответствии с проектной документацией.</w:t>
      </w:r>
    </w:p>
    <w:bookmarkEnd w:id="99"/>
    <w:bookmarkStart w:name="z103" w:id="100"/>
    <w:p>
      <w:pPr>
        <w:spacing w:after="0"/>
        <w:ind w:left="0"/>
        <w:jc w:val="both"/>
      </w:pPr>
      <w:r>
        <w:rPr>
          <w:rFonts w:ascii="Times New Roman"/>
          <w:b w:val="false"/>
          <w:i w:val="false"/>
          <w:color w:val="000000"/>
          <w:sz w:val="28"/>
        </w:rPr>
        <w:t>
      43. Канаты ПТС, транспортирующих расплавленный или раскаленный металл и жидкий шлак, должны быть защищены от непосредственного действия лучистого тепла и брызг металла установкой соответствующих ограждений.</w:t>
      </w:r>
    </w:p>
    <w:bookmarkEnd w:id="100"/>
    <w:bookmarkStart w:name="z104" w:id="101"/>
    <w:p>
      <w:pPr>
        <w:spacing w:after="0"/>
        <w:ind w:left="0"/>
        <w:jc w:val="left"/>
      </w:pPr>
      <w:r>
        <w:rPr>
          <w:rFonts w:ascii="Times New Roman"/>
          <w:b/>
          <w:i w:val="false"/>
          <w:color w:val="000000"/>
        </w:rPr>
        <w:t xml:space="preserve"> 8. Требования к барабанам, блокам</w:t>
      </w:r>
    </w:p>
    <w:bookmarkEnd w:id="101"/>
    <w:bookmarkStart w:name="z105" w:id="102"/>
    <w:p>
      <w:pPr>
        <w:spacing w:after="0"/>
        <w:ind w:left="0"/>
        <w:jc w:val="both"/>
      </w:pPr>
      <w:r>
        <w:rPr>
          <w:rFonts w:ascii="Times New Roman"/>
          <w:b w:val="false"/>
          <w:i w:val="false"/>
          <w:color w:val="000000"/>
          <w:sz w:val="28"/>
        </w:rPr>
        <w:t>
      44. Емкость барабана должна быть такой, чтобы при самом низком возможном положении грузозахватного органа на барабане оставались навитыми не менее полутора витков каната или цепи, не считая витков, находящихся под зажимным устройством.</w:t>
      </w:r>
    </w:p>
    <w:bookmarkEnd w:id="102"/>
    <w:bookmarkStart w:name="z106" w:id="103"/>
    <w:p>
      <w:pPr>
        <w:spacing w:after="0"/>
        <w:ind w:left="0"/>
        <w:jc w:val="both"/>
      </w:pPr>
      <w:r>
        <w:rPr>
          <w:rFonts w:ascii="Times New Roman"/>
          <w:b w:val="false"/>
          <w:i w:val="false"/>
          <w:color w:val="000000"/>
          <w:sz w:val="28"/>
        </w:rPr>
        <w:t>
      45. Барабаны ПТС под однослойную навивку каната должны иметь нарезанные по винтовой линии канавки. У грейферных ПТС при однослойной навивке каната на барабан и у специальных ПТС, при работе которых возможны рывки и ослабление каната, барабаны должны иметь канавку глубиной не менее половины диаметра каната или снабжаться устройством, обеспечивающим правильную укладку каната на барабане.</w:t>
      </w:r>
    </w:p>
    <w:bookmarkEnd w:id="103"/>
    <w:bookmarkStart w:name="z107" w:id="104"/>
    <w:p>
      <w:pPr>
        <w:spacing w:after="0"/>
        <w:ind w:left="0"/>
        <w:jc w:val="both"/>
      </w:pPr>
      <w:r>
        <w:rPr>
          <w:rFonts w:ascii="Times New Roman"/>
          <w:b w:val="false"/>
          <w:i w:val="false"/>
          <w:color w:val="000000"/>
          <w:sz w:val="28"/>
        </w:rPr>
        <w:t>
      Применение гладкого барабана допускается в тех случаях, когда по конструктивным причинам необходима многослойная навивка каната на барабан, при навивке на барабан цепи.</w:t>
      </w:r>
    </w:p>
    <w:bookmarkEnd w:id="104"/>
    <w:bookmarkStart w:name="z108" w:id="105"/>
    <w:p>
      <w:pPr>
        <w:spacing w:after="0"/>
        <w:ind w:left="0"/>
        <w:jc w:val="both"/>
      </w:pPr>
      <w:r>
        <w:rPr>
          <w:rFonts w:ascii="Times New Roman"/>
          <w:b w:val="false"/>
          <w:i w:val="false"/>
          <w:color w:val="000000"/>
          <w:sz w:val="28"/>
        </w:rPr>
        <w:t>
      46. Гладкие барабаны и барабаны с канавками, предназначенные для многослойной навивки каната, должны иметь реборды с обеих сторон барабана.</w:t>
      </w:r>
    </w:p>
    <w:bookmarkEnd w:id="105"/>
    <w:bookmarkStart w:name="z109" w:id="106"/>
    <w:p>
      <w:pPr>
        <w:spacing w:after="0"/>
        <w:ind w:left="0"/>
        <w:jc w:val="both"/>
      </w:pPr>
      <w:r>
        <w:rPr>
          <w:rFonts w:ascii="Times New Roman"/>
          <w:b w:val="false"/>
          <w:i w:val="false"/>
          <w:color w:val="000000"/>
          <w:sz w:val="28"/>
        </w:rPr>
        <w:t>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канавками одной ветви каната реборда может не устанавливаться со стороны крепления каната на барабане.</w:t>
      </w:r>
    </w:p>
    <w:bookmarkEnd w:id="106"/>
    <w:bookmarkStart w:name="z110" w:id="107"/>
    <w:p>
      <w:pPr>
        <w:spacing w:after="0"/>
        <w:ind w:left="0"/>
        <w:jc w:val="both"/>
      </w:pPr>
      <w:r>
        <w:rPr>
          <w:rFonts w:ascii="Times New Roman"/>
          <w:b w:val="false"/>
          <w:i w:val="false"/>
          <w:color w:val="000000"/>
          <w:sz w:val="28"/>
        </w:rPr>
        <w:t>
      Реборды барабана для каната должны возвышаться над верхним слоем навитого каната не менее чем на два диаметра его, а для цепей не менее чем на ширину звена цепи.</w:t>
      </w:r>
    </w:p>
    <w:bookmarkEnd w:id="107"/>
    <w:bookmarkStart w:name="z111" w:id="108"/>
    <w:p>
      <w:pPr>
        <w:spacing w:after="0"/>
        <w:ind w:left="0"/>
        <w:jc w:val="both"/>
      </w:pPr>
      <w:r>
        <w:rPr>
          <w:rFonts w:ascii="Times New Roman"/>
          <w:b w:val="false"/>
          <w:i w:val="false"/>
          <w:color w:val="000000"/>
          <w:sz w:val="28"/>
        </w:rPr>
        <w:t>
      47. При многослойной навивке каната на барабан у ПТС должна быть обеспечена правильная укладка каждого слоя.</w:t>
      </w:r>
    </w:p>
    <w:bookmarkEnd w:id="108"/>
    <w:bookmarkStart w:name="z112" w:id="109"/>
    <w:p>
      <w:pPr>
        <w:spacing w:after="0"/>
        <w:ind w:left="0"/>
        <w:jc w:val="left"/>
      </w:pPr>
      <w:r>
        <w:rPr>
          <w:rFonts w:ascii="Times New Roman"/>
          <w:b/>
          <w:i w:val="false"/>
          <w:color w:val="000000"/>
        </w:rPr>
        <w:t xml:space="preserve"> 9. Требования к тормозам</w:t>
      </w:r>
    </w:p>
    <w:bookmarkEnd w:id="109"/>
    <w:bookmarkStart w:name="z113" w:id="110"/>
    <w:p>
      <w:pPr>
        <w:spacing w:after="0"/>
        <w:ind w:left="0"/>
        <w:jc w:val="both"/>
      </w:pPr>
      <w:r>
        <w:rPr>
          <w:rFonts w:ascii="Times New Roman"/>
          <w:b w:val="false"/>
          <w:i w:val="false"/>
          <w:color w:val="000000"/>
          <w:sz w:val="28"/>
        </w:rPr>
        <w:t>
      48. Механизм подъема груза и изменения вылета стрелы ПТС с машинным приводом, должны быть снабжены тормозами закрытого типа, автоматически размыкающимися при включении привода.</w:t>
      </w:r>
    </w:p>
    <w:bookmarkEnd w:id="110"/>
    <w:bookmarkStart w:name="z114" w:id="111"/>
    <w:p>
      <w:pPr>
        <w:spacing w:after="0"/>
        <w:ind w:left="0"/>
        <w:jc w:val="both"/>
      </w:pPr>
      <w:r>
        <w:rPr>
          <w:rFonts w:ascii="Times New Roman"/>
          <w:b w:val="false"/>
          <w:i w:val="false"/>
          <w:color w:val="000000"/>
          <w:sz w:val="28"/>
        </w:rPr>
        <w:t>
      Механизм подъема с ручным приводом должен быть снабжен автоматически действующим грузоупорным тормозом.</w:t>
      </w:r>
    </w:p>
    <w:bookmarkEnd w:id="111"/>
    <w:bookmarkStart w:name="z115" w:id="112"/>
    <w:p>
      <w:pPr>
        <w:spacing w:after="0"/>
        <w:ind w:left="0"/>
        <w:jc w:val="both"/>
      </w:pPr>
      <w:r>
        <w:rPr>
          <w:rFonts w:ascii="Times New Roman"/>
          <w:b w:val="false"/>
          <w:i w:val="false"/>
          <w:color w:val="000000"/>
          <w:sz w:val="28"/>
        </w:rPr>
        <w:t>
      У механизмов подъема груза, изменения вылета и телескопирования стрелы с гидроцилиндром должно быть предусмотрено устройство (обратный клапан), исключающее возможность опускания груза или стрелы при падении давления в гидросистеме.</w:t>
      </w:r>
    </w:p>
    <w:bookmarkEnd w:id="112"/>
    <w:bookmarkStart w:name="z116" w:id="113"/>
    <w:p>
      <w:pPr>
        <w:spacing w:after="0"/>
        <w:ind w:left="0"/>
        <w:jc w:val="both"/>
      </w:pPr>
      <w:r>
        <w:rPr>
          <w:rFonts w:ascii="Times New Roman"/>
          <w:b w:val="false"/>
          <w:i w:val="false"/>
          <w:color w:val="000000"/>
          <w:sz w:val="28"/>
        </w:rPr>
        <w:t>
      У механизмов подъема груза и изменения вылета с управляемыми муфтами включения механизмов должны применяться управляемые тормоза нормально закрытого типа, сблокированные с муфтой включения с целью предотвращения произвольного опускания груза или стрелы.</w:t>
      </w:r>
    </w:p>
    <w:bookmarkEnd w:id="113"/>
    <w:bookmarkStart w:name="z117" w:id="114"/>
    <w:p>
      <w:pPr>
        <w:spacing w:after="0"/>
        <w:ind w:left="0"/>
        <w:jc w:val="both"/>
      </w:pPr>
      <w:r>
        <w:rPr>
          <w:rFonts w:ascii="Times New Roman"/>
          <w:b w:val="false"/>
          <w:i w:val="false"/>
          <w:color w:val="000000"/>
          <w:sz w:val="28"/>
        </w:rPr>
        <w:t>
      49. У грейферных двухбарабанных лебедок с раздельным электрическим приводом тормоз должен быть установлен на каждом приводе.</w:t>
      </w:r>
    </w:p>
    <w:bookmarkEnd w:id="114"/>
    <w:bookmarkStart w:name="z118" w:id="115"/>
    <w:p>
      <w:pPr>
        <w:spacing w:after="0"/>
        <w:ind w:left="0"/>
        <w:jc w:val="both"/>
      </w:pPr>
      <w:r>
        <w:rPr>
          <w:rFonts w:ascii="Times New Roman"/>
          <w:b w:val="false"/>
          <w:i w:val="false"/>
          <w:color w:val="000000"/>
          <w:sz w:val="28"/>
        </w:rPr>
        <w:t>
      На приводе поддерживающего барабана допускается устройство педали (кнопки) для растормаживания механизма при неработающем двигателе при этом растормаживание должно быть возможным только при непрерывном нажатии на педаль (кнопку).</w:t>
      </w:r>
    </w:p>
    <w:bookmarkEnd w:id="115"/>
    <w:bookmarkStart w:name="z119" w:id="116"/>
    <w:p>
      <w:pPr>
        <w:spacing w:after="0"/>
        <w:ind w:left="0"/>
        <w:jc w:val="both"/>
      </w:pPr>
      <w:r>
        <w:rPr>
          <w:rFonts w:ascii="Times New Roman"/>
          <w:b w:val="false"/>
          <w:i w:val="false"/>
          <w:color w:val="000000"/>
          <w:sz w:val="28"/>
        </w:rPr>
        <w:t>
      При срабатывании электрической защиты или выключении тока в сети тормоз должен автоматически замыкаться даже в том случае, когда педаль (кнопка) нажата.</w:t>
      </w:r>
    </w:p>
    <w:bookmarkEnd w:id="116"/>
    <w:bookmarkStart w:name="z120" w:id="117"/>
    <w:p>
      <w:pPr>
        <w:spacing w:after="0"/>
        <w:ind w:left="0"/>
        <w:jc w:val="both"/>
      </w:pPr>
      <w:r>
        <w:rPr>
          <w:rFonts w:ascii="Times New Roman"/>
          <w:b w:val="false"/>
          <w:i w:val="false"/>
          <w:color w:val="000000"/>
          <w:sz w:val="28"/>
        </w:rPr>
        <w:t>
      50. Механизмы подъема груза и изменения вылета должны быть снабжены тормозами, имеющими неразмыкаемую кинематическую связь с барабанами.</w:t>
      </w:r>
    </w:p>
    <w:bookmarkEnd w:id="117"/>
    <w:bookmarkStart w:name="z121" w:id="118"/>
    <w:p>
      <w:pPr>
        <w:spacing w:after="0"/>
        <w:ind w:left="0"/>
        <w:jc w:val="both"/>
      </w:pPr>
      <w:r>
        <w:rPr>
          <w:rFonts w:ascii="Times New Roman"/>
          <w:b w:val="false"/>
          <w:i w:val="false"/>
          <w:color w:val="000000"/>
          <w:sz w:val="28"/>
        </w:rPr>
        <w:t>
      51. Тормоза на механизмах передвижения должны устанавливаться при:</w:t>
      </w:r>
    </w:p>
    <w:bookmarkEnd w:id="118"/>
    <w:bookmarkStart w:name="z122" w:id="119"/>
    <w:p>
      <w:pPr>
        <w:spacing w:after="0"/>
        <w:ind w:left="0"/>
        <w:jc w:val="both"/>
      </w:pPr>
      <w:r>
        <w:rPr>
          <w:rFonts w:ascii="Times New Roman"/>
          <w:b w:val="false"/>
          <w:i w:val="false"/>
          <w:color w:val="000000"/>
          <w:sz w:val="28"/>
        </w:rPr>
        <w:t>
      1) работе на открытом воздухе;</w:t>
      </w:r>
    </w:p>
    <w:bookmarkEnd w:id="119"/>
    <w:bookmarkStart w:name="z123" w:id="120"/>
    <w:p>
      <w:pPr>
        <w:spacing w:after="0"/>
        <w:ind w:left="0"/>
        <w:jc w:val="both"/>
      </w:pPr>
      <w:r>
        <w:rPr>
          <w:rFonts w:ascii="Times New Roman"/>
          <w:b w:val="false"/>
          <w:i w:val="false"/>
          <w:color w:val="000000"/>
          <w:sz w:val="28"/>
        </w:rPr>
        <w:t>
      2) работе в помещении при передвижении по пути, уложенному на полу;</w:t>
      </w:r>
    </w:p>
    <w:bookmarkEnd w:id="120"/>
    <w:bookmarkStart w:name="z124" w:id="121"/>
    <w:p>
      <w:pPr>
        <w:spacing w:after="0"/>
        <w:ind w:left="0"/>
        <w:jc w:val="both"/>
      </w:pPr>
      <w:r>
        <w:rPr>
          <w:rFonts w:ascii="Times New Roman"/>
          <w:b w:val="false"/>
          <w:i w:val="false"/>
          <w:color w:val="000000"/>
          <w:sz w:val="28"/>
        </w:rPr>
        <w:t>
      3) работе в помещении на надземном рельсовом пути.</w:t>
      </w:r>
    </w:p>
    <w:bookmarkEnd w:id="121"/>
    <w:p>
      <w:pPr>
        <w:spacing w:after="0"/>
        <w:ind w:left="0"/>
        <w:jc w:val="both"/>
      </w:pPr>
      <w:r>
        <w:rPr>
          <w:rFonts w:ascii="Times New Roman"/>
          <w:b w:val="false"/>
          <w:i w:val="false"/>
          <w:color w:val="000000"/>
          <w:sz w:val="28"/>
        </w:rPr>
        <w:t>
      Тормоза на механизмах поворота устанавливаются на всех ПТС.</w:t>
      </w:r>
    </w:p>
    <w:bookmarkStart w:name="z125" w:id="122"/>
    <w:p>
      <w:pPr>
        <w:spacing w:after="0"/>
        <w:ind w:left="0"/>
        <w:jc w:val="both"/>
      </w:pPr>
      <w:r>
        <w:rPr>
          <w:rFonts w:ascii="Times New Roman"/>
          <w:b w:val="false"/>
          <w:i w:val="false"/>
          <w:color w:val="000000"/>
          <w:sz w:val="28"/>
        </w:rPr>
        <w:t>
      52. Противоугонными устройствами могут не снабжаться, мостовые ПТС, работающие на открытом воздухе, если при действии на ПТС максимально допустимой скорости ветра, для нерабочего состояния ПТС, величина запаса торможения механизмов передвижения составляет не менее 1,2.</w:t>
      </w:r>
    </w:p>
    <w:bookmarkEnd w:id="122"/>
    <w:bookmarkStart w:name="z126" w:id="123"/>
    <w:p>
      <w:pPr>
        <w:spacing w:after="0"/>
        <w:ind w:left="0"/>
        <w:jc w:val="left"/>
      </w:pPr>
      <w:r>
        <w:rPr>
          <w:rFonts w:ascii="Times New Roman"/>
          <w:b/>
          <w:i w:val="false"/>
          <w:color w:val="000000"/>
        </w:rPr>
        <w:t xml:space="preserve"> 10. Требования к ходовым колесам</w:t>
      </w:r>
    </w:p>
    <w:bookmarkEnd w:id="123"/>
    <w:bookmarkStart w:name="z127" w:id="124"/>
    <w:p>
      <w:pPr>
        <w:spacing w:after="0"/>
        <w:ind w:left="0"/>
        <w:jc w:val="both"/>
      </w:pPr>
      <w:r>
        <w:rPr>
          <w:rFonts w:ascii="Times New Roman"/>
          <w:b w:val="false"/>
          <w:i w:val="false"/>
          <w:color w:val="000000"/>
          <w:sz w:val="28"/>
        </w:rPr>
        <w:t>
      53. Ходовые колеса механизмов передвижения ПТС и их грузовых тележек могут выполняться коваными, катаными, штампованными или литыми. Применение безребордных колес допускается при наличии устройств, исключающих сход колес с рельсов.</w:t>
      </w:r>
    </w:p>
    <w:bookmarkEnd w:id="124"/>
    <w:bookmarkStart w:name="z128" w:id="125"/>
    <w:p>
      <w:pPr>
        <w:spacing w:after="0"/>
        <w:ind w:left="0"/>
        <w:jc w:val="both"/>
      </w:pPr>
      <w:r>
        <w:rPr>
          <w:rFonts w:ascii="Times New Roman"/>
          <w:b w:val="false"/>
          <w:i w:val="false"/>
          <w:color w:val="000000"/>
          <w:sz w:val="28"/>
        </w:rPr>
        <w:t>
      54. Колеса рельсовых башенных ПТС должны быть двухребордными независимо от ширины колеи.</w:t>
      </w:r>
    </w:p>
    <w:bookmarkEnd w:id="125"/>
    <w:bookmarkStart w:name="z129" w:id="126"/>
    <w:p>
      <w:pPr>
        <w:spacing w:after="0"/>
        <w:ind w:left="0"/>
        <w:jc w:val="left"/>
      </w:pPr>
      <w:r>
        <w:rPr>
          <w:rFonts w:ascii="Times New Roman"/>
          <w:b/>
          <w:i w:val="false"/>
          <w:color w:val="000000"/>
        </w:rPr>
        <w:t xml:space="preserve"> 11. Требования к опорным деталям</w:t>
      </w:r>
    </w:p>
    <w:bookmarkEnd w:id="126"/>
    <w:bookmarkStart w:name="z130" w:id="127"/>
    <w:p>
      <w:pPr>
        <w:spacing w:after="0"/>
        <w:ind w:left="0"/>
        <w:jc w:val="both"/>
      </w:pPr>
      <w:r>
        <w:rPr>
          <w:rFonts w:ascii="Times New Roman"/>
          <w:b w:val="false"/>
          <w:i w:val="false"/>
          <w:color w:val="000000"/>
          <w:sz w:val="28"/>
        </w:rPr>
        <w:t>
      55. ПТС, передвигающиеся по рельсовым путям, должны быть снабжены опорными деталями на случай поломки колес и осей.</w:t>
      </w:r>
    </w:p>
    <w:bookmarkEnd w:id="127"/>
    <w:bookmarkStart w:name="z131" w:id="128"/>
    <w:p>
      <w:pPr>
        <w:spacing w:after="0"/>
        <w:ind w:left="0"/>
        <w:jc w:val="both"/>
      </w:pPr>
      <w:r>
        <w:rPr>
          <w:rFonts w:ascii="Times New Roman"/>
          <w:b w:val="false"/>
          <w:i w:val="false"/>
          <w:color w:val="000000"/>
          <w:sz w:val="28"/>
        </w:rPr>
        <w:t>
      56. На концах рельсового пути для предупреждения схода с них ПТС должны быть установлены упоры.</w:t>
      </w:r>
    </w:p>
    <w:bookmarkEnd w:id="128"/>
    <w:bookmarkStart w:name="z132" w:id="129"/>
    <w:p>
      <w:pPr>
        <w:spacing w:after="0"/>
        <w:ind w:left="0"/>
        <w:jc w:val="both"/>
      </w:pPr>
      <w:r>
        <w:rPr>
          <w:rFonts w:ascii="Times New Roman"/>
          <w:b w:val="false"/>
          <w:i w:val="false"/>
          <w:color w:val="000000"/>
          <w:sz w:val="28"/>
        </w:rPr>
        <w:t>
      57. ПТС с машинным приводом, движущиеся по рельсовому пути, и их тележки для смягчения возможного удара об упоры или друг, о друга должны быть снабжены упругими буферными устройствами.</w:t>
      </w:r>
    </w:p>
    <w:bookmarkEnd w:id="129"/>
    <w:bookmarkStart w:name="z133" w:id="130"/>
    <w:p>
      <w:pPr>
        <w:spacing w:after="0"/>
        <w:ind w:left="0"/>
        <w:jc w:val="left"/>
      </w:pPr>
      <w:r>
        <w:rPr>
          <w:rFonts w:ascii="Times New Roman"/>
          <w:b/>
          <w:i w:val="false"/>
          <w:color w:val="000000"/>
        </w:rPr>
        <w:t xml:space="preserve"> 12. Требования к противовесу и балласту</w:t>
      </w:r>
    </w:p>
    <w:bookmarkEnd w:id="130"/>
    <w:bookmarkStart w:name="z134" w:id="131"/>
    <w:p>
      <w:pPr>
        <w:spacing w:after="0"/>
        <w:ind w:left="0"/>
        <w:jc w:val="both"/>
      </w:pPr>
      <w:r>
        <w:rPr>
          <w:rFonts w:ascii="Times New Roman"/>
          <w:b w:val="false"/>
          <w:i w:val="false"/>
          <w:color w:val="000000"/>
          <w:sz w:val="28"/>
        </w:rPr>
        <w:t>
      58. Составные части противовеса и балласта должны быть закреплены или заключены в кожух для предохранения их от падения и для исключения возможности изменения установленной массы. При применении в качестве противовеса или балласта мелкого штучного груза он должен быть помещен в металлический ящик.</w:t>
      </w:r>
    </w:p>
    <w:bookmarkEnd w:id="131"/>
    <w:bookmarkStart w:name="z135" w:id="132"/>
    <w:p>
      <w:pPr>
        <w:spacing w:after="0"/>
        <w:ind w:left="0"/>
        <w:jc w:val="both"/>
      </w:pPr>
      <w:r>
        <w:rPr>
          <w:rFonts w:ascii="Times New Roman"/>
          <w:b w:val="false"/>
          <w:i w:val="false"/>
          <w:color w:val="000000"/>
          <w:sz w:val="28"/>
        </w:rPr>
        <w:t>
      59. Передвижные противовесы должны перемещаться автоматически с изменением вылета или иметь хорошо видимый указатель положения противовеса в зависимости от вылета.</w:t>
      </w:r>
    </w:p>
    <w:bookmarkEnd w:id="132"/>
    <w:bookmarkStart w:name="z136" w:id="133"/>
    <w:p>
      <w:pPr>
        <w:spacing w:after="0"/>
        <w:ind w:left="0"/>
        <w:jc w:val="left"/>
      </w:pPr>
      <w:r>
        <w:rPr>
          <w:rFonts w:ascii="Times New Roman"/>
          <w:b/>
          <w:i w:val="false"/>
          <w:color w:val="000000"/>
        </w:rPr>
        <w:t xml:space="preserve"> 13. Приборы и устройства безопасности</w:t>
      </w:r>
    </w:p>
    <w:bookmarkEnd w:id="133"/>
    <w:bookmarkStart w:name="z137" w:id="134"/>
    <w:p>
      <w:pPr>
        <w:spacing w:after="0"/>
        <w:ind w:left="0"/>
        <w:jc w:val="both"/>
      </w:pPr>
      <w:r>
        <w:rPr>
          <w:rFonts w:ascii="Times New Roman"/>
          <w:b w:val="false"/>
          <w:i w:val="false"/>
          <w:color w:val="000000"/>
          <w:sz w:val="28"/>
        </w:rPr>
        <w:t>
      60. ПТС с машинным приводом должны быть оборудованы устройствами (концевыми выключателями) для автоматической остановки:</w:t>
      </w:r>
    </w:p>
    <w:bookmarkEnd w:id="134"/>
    <w:bookmarkStart w:name="z138" w:id="135"/>
    <w:p>
      <w:pPr>
        <w:spacing w:after="0"/>
        <w:ind w:left="0"/>
        <w:jc w:val="both"/>
      </w:pPr>
      <w:r>
        <w:rPr>
          <w:rFonts w:ascii="Times New Roman"/>
          <w:b w:val="false"/>
          <w:i w:val="false"/>
          <w:color w:val="000000"/>
          <w:sz w:val="28"/>
        </w:rPr>
        <w:t>
      1) механизма подъема грузозахватного органа в его крайних верхнем и нижнем положениях. Концевой выключатель нижнего положения грузозахватного органа может не устанавливаться, если по условиям эксплуатации ПТС не требуется опускать груз ниже уровня, установленного проектной документацией;</w:t>
      </w:r>
    </w:p>
    <w:bookmarkEnd w:id="135"/>
    <w:bookmarkStart w:name="z139" w:id="136"/>
    <w:p>
      <w:pPr>
        <w:spacing w:after="0"/>
        <w:ind w:left="0"/>
        <w:jc w:val="both"/>
      </w:pPr>
      <w:r>
        <w:rPr>
          <w:rFonts w:ascii="Times New Roman"/>
          <w:b w:val="false"/>
          <w:i w:val="false"/>
          <w:color w:val="000000"/>
          <w:sz w:val="28"/>
        </w:rPr>
        <w:t>
      2) механизма изменения вылета в крайних положениях стрелы;</w:t>
      </w:r>
    </w:p>
    <w:bookmarkEnd w:id="136"/>
    <w:bookmarkStart w:name="z140" w:id="137"/>
    <w:p>
      <w:pPr>
        <w:spacing w:after="0"/>
        <w:ind w:left="0"/>
        <w:jc w:val="both"/>
      </w:pPr>
      <w:r>
        <w:rPr>
          <w:rFonts w:ascii="Times New Roman"/>
          <w:b w:val="false"/>
          <w:i w:val="false"/>
          <w:color w:val="000000"/>
          <w:sz w:val="28"/>
        </w:rPr>
        <w:t>
      3) механизма передвижения ПТС на рельсовом ходу и их тележек (за исключением железнодорожных), если скорость ПТС (тележки) перед подходом к крайнему положению может превысить 0,5 м/с (механизмы передвижения башенного, козлового ПТС с пролетом более 16 м и мостового перегружателя должны быть оборудованы концевыми выключателями независимо от скорости передвижения);</w:t>
      </w:r>
    </w:p>
    <w:bookmarkEnd w:id="137"/>
    <w:bookmarkStart w:name="z141" w:id="138"/>
    <w:p>
      <w:pPr>
        <w:spacing w:after="0"/>
        <w:ind w:left="0"/>
        <w:jc w:val="both"/>
      </w:pPr>
      <w:r>
        <w:rPr>
          <w:rFonts w:ascii="Times New Roman"/>
          <w:b w:val="false"/>
          <w:i w:val="false"/>
          <w:color w:val="000000"/>
          <w:sz w:val="28"/>
        </w:rPr>
        <w:t>
      4) механизмов передвижения мостовых, козловых, консольных ПТС или их грузовых тележек, работающих на одном пути.</w:t>
      </w:r>
    </w:p>
    <w:bookmarkEnd w:id="138"/>
    <w:bookmarkStart w:name="z142" w:id="139"/>
    <w:p>
      <w:pPr>
        <w:spacing w:after="0"/>
        <w:ind w:left="0"/>
        <w:jc w:val="both"/>
      </w:pPr>
      <w:r>
        <w:rPr>
          <w:rFonts w:ascii="Times New Roman"/>
          <w:b w:val="false"/>
          <w:i w:val="false"/>
          <w:color w:val="000000"/>
          <w:sz w:val="28"/>
        </w:rPr>
        <w:t>
      Указанные устройства должны устанавливаться также при необходимости ограничения хода механизма, например механизма поворота, выдвижения телескопической части ПТС, механизмов грузозахватного органа, подъема кабины.</w:t>
      </w:r>
    </w:p>
    <w:bookmarkEnd w:id="139"/>
    <w:bookmarkStart w:name="z143" w:id="140"/>
    <w:p>
      <w:pPr>
        <w:spacing w:after="0"/>
        <w:ind w:left="0"/>
        <w:jc w:val="both"/>
      </w:pPr>
      <w:r>
        <w:rPr>
          <w:rFonts w:ascii="Times New Roman"/>
          <w:b w:val="false"/>
          <w:i w:val="false"/>
          <w:color w:val="000000"/>
          <w:sz w:val="28"/>
        </w:rPr>
        <w:t>
      61. ПТС мостового типа должны быть оборудованы устройством для автоматического снятия напряжения при выходе на его галерею. У ПТС, работающих в помещении, троллейные провода напряжением не более 42 В при этом могут не отключаться.</w:t>
      </w:r>
    </w:p>
    <w:bookmarkEnd w:id="140"/>
    <w:bookmarkStart w:name="z144" w:id="141"/>
    <w:p>
      <w:pPr>
        <w:spacing w:after="0"/>
        <w:ind w:left="0"/>
        <w:jc w:val="both"/>
      </w:pPr>
      <w:r>
        <w:rPr>
          <w:rFonts w:ascii="Times New Roman"/>
          <w:b w:val="false"/>
          <w:i w:val="false"/>
          <w:color w:val="000000"/>
          <w:sz w:val="28"/>
        </w:rPr>
        <w:t>
      У мостовых ПТС, вход на которые предусмотрен через галерею моста, такой блокировкой должна быть оборудована дверь для входа на галерею.</w:t>
      </w:r>
    </w:p>
    <w:bookmarkEnd w:id="141"/>
    <w:bookmarkStart w:name="z145" w:id="142"/>
    <w:p>
      <w:pPr>
        <w:spacing w:after="0"/>
        <w:ind w:left="0"/>
        <w:jc w:val="both"/>
      </w:pPr>
      <w:r>
        <w:rPr>
          <w:rFonts w:ascii="Times New Roman"/>
          <w:b w:val="false"/>
          <w:i w:val="false"/>
          <w:color w:val="000000"/>
          <w:sz w:val="28"/>
        </w:rPr>
        <w:t>
      62. Дверь для входа в кабину управления ПТС с посадочной площадки должна быть снабжена электрической блокировкой, не позволяющей начать передвижение ПТС при открытой двери.</w:t>
      </w:r>
    </w:p>
    <w:bookmarkEnd w:id="142"/>
    <w:p>
      <w:pPr>
        <w:spacing w:after="0"/>
        <w:ind w:left="0"/>
        <w:jc w:val="both"/>
      </w:pPr>
      <w:r>
        <w:rPr>
          <w:rFonts w:ascii="Times New Roman"/>
          <w:b w:val="false"/>
          <w:i w:val="false"/>
          <w:color w:val="000000"/>
          <w:sz w:val="28"/>
        </w:rPr>
        <w:t>
      Если кабина имеет тамбур, то такой блокировкой снабжается его дверь.</w:t>
      </w:r>
    </w:p>
    <w:bookmarkStart w:name="z146" w:id="143"/>
    <w:p>
      <w:pPr>
        <w:spacing w:after="0"/>
        <w:ind w:left="0"/>
        <w:jc w:val="both"/>
      </w:pPr>
      <w:r>
        <w:rPr>
          <w:rFonts w:ascii="Times New Roman"/>
          <w:b w:val="false"/>
          <w:i w:val="false"/>
          <w:color w:val="000000"/>
          <w:sz w:val="28"/>
        </w:rPr>
        <w:t>
      63. У магнитных ПТС электрическая схема должна быть выполнена так, чтобы при снятии напряжения с ПТС контактами приборов и устройств безопасности напряжение с грузового электромагнита не снималось.</w:t>
      </w:r>
    </w:p>
    <w:bookmarkEnd w:id="143"/>
    <w:bookmarkStart w:name="z147" w:id="144"/>
    <w:p>
      <w:pPr>
        <w:spacing w:after="0"/>
        <w:ind w:left="0"/>
        <w:jc w:val="both"/>
      </w:pPr>
      <w:r>
        <w:rPr>
          <w:rFonts w:ascii="Times New Roman"/>
          <w:b w:val="false"/>
          <w:i w:val="false"/>
          <w:color w:val="000000"/>
          <w:sz w:val="28"/>
        </w:rPr>
        <w:t>
      64. У башенных ПТС с неповоротной башней и портальных ПТС при расположении кабины на поворотной части ПТС, у металлургических ПТС, имеющих поворотную кабину, для предупреждения зажатия людей между поворотной и неповоротной частями ПТС при посадке в кабину должно иметься устройство, автоматически отключающее электродвигатель механизма поворота до перехода персонала с неповоротной на поворотную часть и в кабину.</w:t>
      </w:r>
    </w:p>
    <w:bookmarkEnd w:id="144"/>
    <w:bookmarkStart w:name="z148" w:id="145"/>
    <w:p>
      <w:pPr>
        <w:spacing w:after="0"/>
        <w:ind w:left="0"/>
        <w:jc w:val="both"/>
      </w:pPr>
      <w:r>
        <w:rPr>
          <w:rFonts w:ascii="Times New Roman"/>
          <w:b w:val="false"/>
          <w:i w:val="false"/>
          <w:color w:val="000000"/>
          <w:sz w:val="28"/>
        </w:rPr>
        <w:t>
      65. ПТС мостового типа должны быть оборудованы ограничителями грузоподъемности (для каждой грузовой лебедки), если возможна их перегрузка по технологии производства. ПТС с переменной по длине моста грузоподъемностью также должны быть оборудованы такими ограничителями.</w:t>
      </w:r>
    </w:p>
    <w:bookmarkEnd w:id="145"/>
    <w:bookmarkStart w:name="z149" w:id="146"/>
    <w:p>
      <w:pPr>
        <w:spacing w:after="0"/>
        <w:ind w:left="0"/>
        <w:jc w:val="both"/>
      </w:pPr>
      <w:r>
        <w:rPr>
          <w:rFonts w:ascii="Times New Roman"/>
          <w:b w:val="false"/>
          <w:i w:val="false"/>
          <w:color w:val="000000"/>
          <w:sz w:val="28"/>
        </w:rPr>
        <w:t>
      66. Козловые ПТС и мостовые перегружатели должны быть рассчитаны на максимально возможное усилие перекоса, возникающее при передвижении, или оборудованы ограничителем перекоса автоматического действия.</w:t>
      </w:r>
    </w:p>
    <w:bookmarkEnd w:id="146"/>
    <w:bookmarkStart w:name="z150" w:id="147"/>
    <w:p>
      <w:pPr>
        <w:spacing w:after="0"/>
        <w:ind w:left="0"/>
        <w:jc w:val="both"/>
      </w:pPr>
      <w:r>
        <w:rPr>
          <w:rFonts w:ascii="Times New Roman"/>
          <w:b w:val="false"/>
          <w:i w:val="false"/>
          <w:color w:val="000000"/>
          <w:sz w:val="28"/>
        </w:rPr>
        <w:t>
      67. У ПТС с электроприводом должна быть предусмотрена защита от падения груза и стрелы при обрыве любой из трех фаз питающей электрической сети.</w:t>
      </w:r>
    </w:p>
    <w:bookmarkEnd w:id="147"/>
    <w:bookmarkStart w:name="z151" w:id="148"/>
    <w:p>
      <w:pPr>
        <w:spacing w:after="0"/>
        <w:ind w:left="0"/>
        <w:jc w:val="both"/>
      </w:pPr>
      <w:r>
        <w:rPr>
          <w:rFonts w:ascii="Times New Roman"/>
          <w:b w:val="false"/>
          <w:i w:val="false"/>
          <w:color w:val="000000"/>
          <w:sz w:val="28"/>
        </w:rPr>
        <w:t>
      При отключении электродвигателя подъема груза или стрелы должно сниматься напряжение с катушек электромагнита тормоза или обмоток двигателя гидротолкателя.</w:t>
      </w:r>
    </w:p>
    <w:bookmarkEnd w:id="148"/>
    <w:bookmarkStart w:name="z152" w:id="149"/>
    <w:p>
      <w:pPr>
        <w:spacing w:after="0"/>
        <w:ind w:left="0"/>
        <w:jc w:val="both"/>
      </w:pPr>
      <w:r>
        <w:rPr>
          <w:rFonts w:ascii="Times New Roman"/>
          <w:b w:val="false"/>
          <w:i w:val="false"/>
          <w:color w:val="000000"/>
          <w:sz w:val="28"/>
        </w:rPr>
        <w:t>
      68. У электрических ПТС контакты концевых выключателей, блокировки люка, двери кабины, аварийного выключателя должны работать на разрыв электрической цепи.</w:t>
      </w:r>
    </w:p>
    <w:bookmarkEnd w:id="149"/>
    <w:bookmarkStart w:name="z153" w:id="150"/>
    <w:p>
      <w:pPr>
        <w:spacing w:after="0"/>
        <w:ind w:left="0"/>
        <w:jc w:val="both"/>
      </w:pPr>
      <w:r>
        <w:rPr>
          <w:rFonts w:ascii="Times New Roman"/>
          <w:b w:val="false"/>
          <w:i w:val="false"/>
          <w:color w:val="000000"/>
          <w:sz w:val="28"/>
        </w:rPr>
        <w:t>
      69. У ПТС (кроме гидравлических), грузоподъемность которых меняется с изменением вылета, должен быть предусмотрен указатель грузоподъемности, соответствующей установленному вылету.</w:t>
      </w:r>
    </w:p>
    <w:bookmarkEnd w:id="150"/>
    <w:bookmarkStart w:name="z154" w:id="151"/>
    <w:p>
      <w:pPr>
        <w:spacing w:after="0"/>
        <w:ind w:left="0"/>
        <w:jc w:val="both"/>
      </w:pPr>
      <w:r>
        <w:rPr>
          <w:rFonts w:ascii="Times New Roman"/>
          <w:b w:val="false"/>
          <w:i w:val="false"/>
          <w:color w:val="000000"/>
          <w:sz w:val="28"/>
        </w:rPr>
        <w:t>
      70. В кабине и на неповоротной раме стреловых самоходных ПТС должны быть установлены указатели угла наклона ПТС (креномеры, сигнализаторы).</w:t>
      </w:r>
    </w:p>
    <w:bookmarkEnd w:id="151"/>
    <w:p>
      <w:pPr>
        <w:spacing w:after="0"/>
        <w:ind w:left="0"/>
        <w:jc w:val="both"/>
      </w:pPr>
      <w:r>
        <w:rPr>
          <w:rFonts w:ascii="Times New Roman"/>
          <w:b w:val="false"/>
          <w:i w:val="false"/>
          <w:color w:val="000000"/>
          <w:sz w:val="28"/>
        </w:rPr>
        <w:t>
      71. Башенные ПТС с высотой до верха оголовка более 15 м, козловые ПТС с пролетом более 16 м, портальные и кабельные ПТС, мостовые перегружатели должны быть снабжены прибором (анемометром), автоматически включающим сирену при достижении скорости ветра, указанной в паспорте ПТС.</w:t>
      </w:r>
    </w:p>
    <w:bookmarkStart w:name="z155" w:id="152"/>
    <w:p>
      <w:pPr>
        <w:spacing w:after="0"/>
        <w:ind w:left="0"/>
        <w:jc w:val="both"/>
      </w:pPr>
      <w:r>
        <w:rPr>
          <w:rFonts w:ascii="Times New Roman"/>
          <w:b w:val="false"/>
          <w:i w:val="false"/>
          <w:color w:val="000000"/>
          <w:sz w:val="28"/>
        </w:rPr>
        <w:t>
      72. Стреловые самоходные ПТС грузоподъемностью до 16 т включительно (кроме гусеничных) при изготовлении должны быть оборудованы защитой от опасного напряжения во время работы их вблизи линии электропередач.</w:t>
      </w:r>
    </w:p>
    <w:bookmarkEnd w:id="152"/>
    <w:bookmarkStart w:name="z156" w:id="153"/>
    <w:p>
      <w:pPr>
        <w:spacing w:after="0"/>
        <w:ind w:left="0"/>
        <w:jc w:val="both"/>
      </w:pPr>
      <w:r>
        <w:rPr>
          <w:rFonts w:ascii="Times New Roman"/>
          <w:b w:val="false"/>
          <w:i w:val="false"/>
          <w:color w:val="000000"/>
          <w:sz w:val="28"/>
        </w:rPr>
        <w:t>
      73. Электрическая схема управления электродвигателями ПТС должна исключать:</w:t>
      </w:r>
    </w:p>
    <w:bookmarkEnd w:id="153"/>
    <w:bookmarkStart w:name="z157" w:id="154"/>
    <w:p>
      <w:pPr>
        <w:spacing w:after="0"/>
        <w:ind w:left="0"/>
        <w:jc w:val="both"/>
      </w:pPr>
      <w:r>
        <w:rPr>
          <w:rFonts w:ascii="Times New Roman"/>
          <w:b w:val="false"/>
          <w:i w:val="false"/>
          <w:color w:val="000000"/>
          <w:sz w:val="28"/>
        </w:rPr>
        <w:t>
      1) самозапуск электродвигателей после восстановления напряжения в сети;</w:t>
      </w:r>
    </w:p>
    <w:bookmarkEnd w:id="154"/>
    <w:bookmarkStart w:name="z158" w:id="155"/>
    <w:p>
      <w:pPr>
        <w:spacing w:after="0"/>
        <w:ind w:left="0"/>
        <w:jc w:val="both"/>
      </w:pPr>
      <w:r>
        <w:rPr>
          <w:rFonts w:ascii="Times New Roman"/>
          <w:b w:val="false"/>
          <w:i w:val="false"/>
          <w:color w:val="000000"/>
          <w:sz w:val="28"/>
        </w:rPr>
        <w:t>
      2) пуск электродвигателей не по заданной схеме ускорения;</w:t>
      </w:r>
    </w:p>
    <w:bookmarkEnd w:id="155"/>
    <w:bookmarkStart w:name="z159" w:id="156"/>
    <w:p>
      <w:pPr>
        <w:spacing w:after="0"/>
        <w:ind w:left="0"/>
        <w:jc w:val="both"/>
      </w:pPr>
      <w:r>
        <w:rPr>
          <w:rFonts w:ascii="Times New Roman"/>
          <w:b w:val="false"/>
          <w:i w:val="false"/>
          <w:color w:val="000000"/>
          <w:sz w:val="28"/>
        </w:rPr>
        <w:t>
      3) пуск электродвигателей контактами предохранительных устройств (контактами концевых выключателей и блокировочных устройств).</w:t>
      </w:r>
    </w:p>
    <w:bookmarkEnd w:id="156"/>
    <w:bookmarkStart w:name="z160" w:id="157"/>
    <w:p>
      <w:pPr>
        <w:spacing w:after="0"/>
        <w:ind w:left="0"/>
        <w:jc w:val="both"/>
      </w:pPr>
      <w:r>
        <w:rPr>
          <w:rFonts w:ascii="Times New Roman"/>
          <w:b w:val="false"/>
          <w:i w:val="false"/>
          <w:color w:val="000000"/>
          <w:sz w:val="28"/>
        </w:rPr>
        <w:t>
      74. Подача напряжения на ПТС от внешней сети должна осуществляться через вводное устройство, имеющее ручной или дистанционный привод для снятия напряжения.</w:t>
      </w:r>
    </w:p>
    <w:bookmarkEnd w:id="157"/>
    <w:bookmarkStart w:name="z161" w:id="158"/>
    <w:p>
      <w:pPr>
        <w:spacing w:after="0"/>
        <w:ind w:left="0"/>
        <w:jc w:val="both"/>
      </w:pPr>
      <w:r>
        <w:rPr>
          <w:rFonts w:ascii="Times New Roman"/>
          <w:b w:val="false"/>
          <w:i w:val="false"/>
          <w:color w:val="000000"/>
          <w:sz w:val="28"/>
        </w:rPr>
        <w:t>
      75. Светильники, установленные на башенных ПТС, должны включаться самостоятельным выключателем, установленным на портале.</w:t>
      </w:r>
    </w:p>
    <w:bookmarkEnd w:id="158"/>
    <w:bookmarkStart w:name="z162" w:id="159"/>
    <w:p>
      <w:pPr>
        <w:spacing w:after="0"/>
        <w:ind w:left="0"/>
        <w:jc w:val="both"/>
      </w:pPr>
      <w:r>
        <w:rPr>
          <w:rFonts w:ascii="Times New Roman"/>
          <w:b w:val="false"/>
          <w:i w:val="false"/>
          <w:color w:val="000000"/>
          <w:sz w:val="28"/>
        </w:rPr>
        <w:t>
      76. ПТС, управляемые из кабины или с пульта управления (при дистанционном управлении), должны быть снабжены звуковым сигнальным прибором, звук которого должен быть хорошо слышен в местах перемещения и отличаться по тональности от автомобильного сигнала.</w:t>
      </w:r>
    </w:p>
    <w:bookmarkEnd w:id="159"/>
    <w:bookmarkStart w:name="z163" w:id="160"/>
    <w:p>
      <w:pPr>
        <w:spacing w:after="0"/>
        <w:ind w:left="0"/>
        <w:jc w:val="both"/>
      </w:pPr>
      <w:r>
        <w:rPr>
          <w:rFonts w:ascii="Times New Roman"/>
          <w:b w:val="false"/>
          <w:i w:val="false"/>
          <w:color w:val="000000"/>
          <w:sz w:val="28"/>
        </w:rPr>
        <w:t>
      77. Кабина управления ПТС и машинное помещение должны иметь электрическое освещение.</w:t>
      </w:r>
    </w:p>
    <w:bookmarkEnd w:id="160"/>
    <w:bookmarkStart w:name="z164" w:id="161"/>
    <w:p>
      <w:pPr>
        <w:spacing w:after="0"/>
        <w:ind w:left="0"/>
        <w:jc w:val="both"/>
      </w:pPr>
      <w:r>
        <w:rPr>
          <w:rFonts w:ascii="Times New Roman"/>
          <w:b w:val="false"/>
          <w:i w:val="false"/>
          <w:color w:val="000000"/>
          <w:sz w:val="28"/>
        </w:rPr>
        <w:t>
      Освещение на ПТС с электрическим приводом при отключении электрооборудования ПТС должно оставаться подключенным.</w:t>
      </w:r>
    </w:p>
    <w:bookmarkEnd w:id="161"/>
    <w:bookmarkStart w:name="z165" w:id="162"/>
    <w:p>
      <w:pPr>
        <w:spacing w:after="0"/>
        <w:ind w:left="0"/>
        <w:jc w:val="both"/>
      </w:pPr>
      <w:r>
        <w:rPr>
          <w:rFonts w:ascii="Times New Roman"/>
          <w:b w:val="false"/>
          <w:i w:val="false"/>
          <w:color w:val="000000"/>
          <w:sz w:val="28"/>
        </w:rPr>
        <w:t>
      Цепи освещения и сигнального прибора, включенные до вводного устройства, должны иметь собственный выключатель.</w:t>
      </w:r>
    </w:p>
    <w:bookmarkEnd w:id="162"/>
    <w:bookmarkStart w:name="z166" w:id="163"/>
    <w:p>
      <w:pPr>
        <w:spacing w:after="0"/>
        <w:ind w:left="0"/>
        <w:jc w:val="both"/>
      </w:pPr>
      <w:r>
        <w:rPr>
          <w:rFonts w:ascii="Times New Roman"/>
          <w:b w:val="false"/>
          <w:i w:val="false"/>
          <w:color w:val="000000"/>
          <w:sz w:val="28"/>
        </w:rPr>
        <w:t>
      78. ПТС должны быть оборудованы низковольтным ремонтным освещением напряжением не более 42 В.</w:t>
      </w:r>
    </w:p>
    <w:bookmarkEnd w:id="163"/>
    <w:bookmarkStart w:name="z167" w:id="164"/>
    <w:p>
      <w:pPr>
        <w:spacing w:after="0"/>
        <w:ind w:left="0"/>
        <w:jc w:val="both"/>
      </w:pPr>
      <w:r>
        <w:rPr>
          <w:rFonts w:ascii="Times New Roman"/>
          <w:b w:val="false"/>
          <w:i w:val="false"/>
          <w:color w:val="000000"/>
          <w:sz w:val="28"/>
        </w:rPr>
        <w:t>
      Питание сети ремонтного освещения должно осуществляться от разделительного трансформатора или аккумулятора, установленных на ПТС.</w:t>
      </w:r>
    </w:p>
    <w:bookmarkEnd w:id="164"/>
    <w:bookmarkStart w:name="z168" w:id="165"/>
    <w:p>
      <w:pPr>
        <w:spacing w:after="0"/>
        <w:ind w:left="0"/>
        <w:jc w:val="both"/>
      </w:pPr>
      <w:r>
        <w:rPr>
          <w:rFonts w:ascii="Times New Roman"/>
          <w:b w:val="false"/>
          <w:i w:val="false"/>
          <w:color w:val="000000"/>
          <w:sz w:val="28"/>
        </w:rPr>
        <w:t>
      79. Использование металлоконструкций ПТС в качестве рабочего токопровода для питания цепей освещения, управления или других цепей напряжением более 42 В не допускается.</w:t>
      </w:r>
    </w:p>
    <w:bookmarkEnd w:id="165"/>
    <w:bookmarkStart w:name="z169" w:id="166"/>
    <w:p>
      <w:pPr>
        <w:spacing w:after="0"/>
        <w:ind w:left="0"/>
        <w:jc w:val="both"/>
      </w:pPr>
      <w:r>
        <w:rPr>
          <w:rFonts w:ascii="Times New Roman"/>
          <w:b w:val="false"/>
          <w:i w:val="false"/>
          <w:color w:val="000000"/>
          <w:sz w:val="28"/>
        </w:rPr>
        <w:t>
      80. Электрические отопительные приборы, устанавливаемые в кабине ПТС, должны быть безопасны в пожарном отношении, а их токоведущие части ограждены. Электрические отопительные приборы должны присоединяться к электрической сети после вводного устройства. Корпус отопительного прибора должен быть заземлен.</w:t>
      </w:r>
    </w:p>
    <w:bookmarkEnd w:id="166"/>
    <w:bookmarkStart w:name="z170" w:id="167"/>
    <w:p>
      <w:pPr>
        <w:spacing w:after="0"/>
        <w:ind w:left="0"/>
        <w:jc w:val="both"/>
      </w:pPr>
      <w:r>
        <w:rPr>
          <w:rFonts w:ascii="Times New Roman"/>
          <w:b w:val="false"/>
          <w:i w:val="false"/>
          <w:color w:val="000000"/>
          <w:sz w:val="28"/>
        </w:rPr>
        <w:t>
      81. Установка в кабине управления ПТС пусковых сопротивлений электродвигателей не допускается.</w:t>
      </w:r>
    </w:p>
    <w:bookmarkEnd w:id="167"/>
    <w:bookmarkStart w:name="z171" w:id="168"/>
    <w:p>
      <w:pPr>
        <w:spacing w:after="0"/>
        <w:ind w:left="0"/>
        <w:jc w:val="both"/>
      </w:pPr>
      <w:r>
        <w:rPr>
          <w:rFonts w:ascii="Times New Roman"/>
          <w:b w:val="false"/>
          <w:i w:val="false"/>
          <w:color w:val="000000"/>
          <w:sz w:val="28"/>
        </w:rPr>
        <w:t>
      82. У ПТС с электрическим приводом при питании от внешней сети их металлоконструкции, все металлические части электрооборудования (корпуса электродвигателей, кожухи аппаратов, металлические оболочки проводов и кабелей, защитные трубы), должны быть заземлены.</w:t>
      </w:r>
    </w:p>
    <w:bookmarkEnd w:id="168"/>
    <w:bookmarkStart w:name="z172" w:id="169"/>
    <w:p>
      <w:pPr>
        <w:spacing w:after="0"/>
        <w:ind w:left="0"/>
        <w:jc w:val="both"/>
      </w:pPr>
      <w:r>
        <w:rPr>
          <w:rFonts w:ascii="Times New Roman"/>
          <w:b w:val="false"/>
          <w:i w:val="false"/>
          <w:color w:val="000000"/>
          <w:sz w:val="28"/>
        </w:rPr>
        <w:t>
      83. Корпус кнопочного аппарата управления электрического ПТС, управляемого с пола, должен быть выполнен из изоляционного материала либо заземлен не менее чем двумя проводниками. В качестве одного из заземляющих проводников может быть использован тросик, на котором подвешен кнопочный аппарат.</w:t>
      </w:r>
    </w:p>
    <w:bookmarkEnd w:id="169"/>
    <w:bookmarkStart w:name="z173" w:id="170"/>
    <w:p>
      <w:pPr>
        <w:spacing w:after="0"/>
        <w:ind w:left="0"/>
        <w:jc w:val="both"/>
      </w:pPr>
      <w:r>
        <w:rPr>
          <w:rFonts w:ascii="Times New Roman"/>
          <w:b w:val="false"/>
          <w:i w:val="false"/>
          <w:color w:val="000000"/>
          <w:sz w:val="28"/>
        </w:rPr>
        <w:t>
      84. Грузозахватный орган штыревого ПТС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ПТС они должны быть изолированы не менее чем тремя ступенями изоляции. Изоляция электрооборудования и электропроводки должна быть рассчитана на случай приложения к ним напряжения от груза при повреждении или перекрытии ступеней защитной изоляции.</w:t>
      </w:r>
    </w:p>
    <w:bookmarkEnd w:id="170"/>
    <w:bookmarkStart w:name="z174" w:id="171"/>
    <w:p>
      <w:pPr>
        <w:spacing w:after="0"/>
        <w:ind w:left="0"/>
        <w:jc w:val="both"/>
      </w:pPr>
      <w:r>
        <w:rPr>
          <w:rFonts w:ascii="Times New Roman"/>
          <w:b w:val="false"/>
          <w:i w:val="false"/>
          <w:color w:val="000000"/>
          <w:sz w:val="28"/>
        </w:rPr>
        <w:t>
      85. У ПТС с гидравлическим приводом на линии напора каждого насоса должны быть установлены предохранительные клапаны, которые регулируются на давление, превышающее рабочее не более чем на 10 %. Коммуникации для подачи и слива жидкости должны быть устроены таким образом, чтобы исключалась утечка жидкости во время работы или бездействия механизма.</w:t>
      </w:r>
    </w:p>
    <w:bookmarkEnd w:id="171"/>
    <w:bookmarkStart w:name="z175" w:id="172"/>
    <w:p>
      <w:pPr>
        <w:spacing w:after="0"/>
        <w:ind w:left="0"/>
        <w:jc w:val="both"/>
      </w:pPr>
      <w:r>
        <w:rPr>
          <w:rFonts w:ascii="Times New Roman"/>
          <w:b w:val="false"/>
          <w:i w:val="false"/>
          <w:color w:val="000000"/>
          <w:sz w:val="28"/>
        </w:rPr>
        <w:t>
      Применяемые в гидроприводе гибкие шланги должны быть защищены от возможных механических повреждений.</w:t>
      </w:r>
    </w:p>
    <w:bookmarkEnd w:id="172"/>
    <w:bookmarkStart w:name="z176" w:id="173"/>
    <w:p>
      <w:pPr>
        <w:spacing w:after="0"/>
        <w:ind w:left="0"/>
        <w:jc w:val="both"/>
      </w:pPr>
      <w:r>
        <w:rPr>
          <w:rFonts w:ascii="Times New Roman"/>
          <w:b w:val="false"/>
          <w:i w:val="false"/>
          <w:color w:val="000000"/>
          <w:sz w:val="28"/>
        </w:rPr>
        <w:t>
      86. Система подачи рабочей жидкости должна предусматривать устройства для полного ее удаления при ремонте, возможность прокачки магистралей и очистки рабочей жидкости от загрязнения.</w:t>
      </w:r>
    </w:p>
    <w:bookmarkEnd w:id="173"/>
    <w:bookmarkStart w:name="z177" w:id="174"/>
    <w:p>
      <w:pPr>
        <w:spacing w:after="0"/>
        <w:ind w:left="0"/>
        <w:jc w:val="left"/>
      </w:pPr>
      <w:r>
        <w:rPr>
          <w:rFonts w:ascii="Times New Roman"/>
          <w:b/>
          <w:i w:val="false"/>
          <w:color w:val="000000"/>
        </w:rPr>
        <w:t xml:space="preserve"> 14. Требования к ПТС кабельного типа</w:t>
      </w:r>
    </w:p>
    <w:bookmarkEnd w:id="174"/>
    <w:bookmarkStart w:name="z178" w:id="175"/>
    <w:p>
      <w:pPr>
        <w:spacing w:after="0"/>
        <w:ind w:left="0"/>
        <w:jc w:val="both"/>
      </w:pPr>
      <w:r>
        <w:rPr>
          <w:rFonts w:ascii="Times New Roman"/>
          <w:b w:val="false"/>
          <w:i w:val="false"/>
          <w:color w:val="000000"/>
          <w:sz w:val="28"/>
        </w:rPr>
        <w:t>
      87. Коэффициент устойчивости передвижных некачающихся опор ПТС (с несущими канатами) в любом направлении с учетом всех основных и дополнительных нагрузок (сил инерции, ветровой нагрузки, веса снега, усилий от забегания одной из опор) при наиболее неблагоприятной их комбинации должен составлять не менее 1,3.</w:t>
      </w:r>
    </w:p>
    <w:bookmarkEnd w:id="175"/>
    <w:bookmarkStart w:name="z179" w:id="176"/>
    <w:p>
      <w:pPr>
        <w:spacing w:after="0"/>
        <w:ind w:left="0"/>
        <w:jc w:val="both"/>
      </w:pPr>
      <w:r>
        <w:rPr>
          <w:rFonts w:ascii="Times New Roman"/>
          <w:b w:val="false"/>
          <w:i w:val="false"/>
          <w:color w:val="000000"/>
          <w:sz w:val="28"/>
        </w:rPr>
        <w:t>
      Коэффициент устойчивости качающихся опор в плоскости, перпендикулярной несущим канатам, должен быть не менее 1,3.</w:t>
      </w:r>
    </w:p>
    <w:bookmarkEnd w:id="176"/>
    <w:bookmarkStart w:name="z180" w:id="177"/>
    <w:p>
      <w:pPr>
        <w:spacing w:after="0"/>
        <w:ind w:left="0"/>
        <w:jc w:val="both"/>
      </w:pPr>
      <w:r>
        <w:rPr>
          <w:rFonts w:ascii="Times New Roman"/>
          <w:b w:val="false"/>
          <w:i w:val="false"/>
          <w:color w:val="000000"/>
          <w:sz w:val="28"/>
        </w:rPr>
        <w:t>
      88. ПТС должно быть оборудовано устройством, автоматически останавливающим механизмы передвижения опор в случае забегания одной из них по отношению к другой на величину, превышающую установленную проектной документацией.</w:t>
      </w:r>
    </w:p>
    <w:bookmarkEnd w:id="177"/>
    <w:bookmarkStart w:name="z181" w:id="178"/>
    <w:p>
      <w:pPr>
        <w:spacing w:after="0"/>
        <w:ind w:left="0"/>
        <w:jc w:val="both"/>
      </w:pPr>
      <w:r>
        <w:rPr>
          <w:rFonts w:ascii="Times New Roman"/>
          <w:b w:val="false"/>
          <w:i w:val="false"/>
          <w:color w:val="000000"/>
          <w:sz w:val="28"/>
        </w:rPr>
        <w:t>
      89. ПТС должно быть оснащено ограничителем грузоподъемности, срабатывающим при превышении грузоподъемности не более чем на 25 %. После действия ограничителя грузоподъемности должно быть, только опускание груза.</w:t>
      </w:r>
    </w:p>
    <w:bookmarkEnd w:id="178"/>
    <w:bookmarkStart w:name="z182" w:id="179"/>
    <w:p>
      <w:pPr>
        <w:spacing w:after="0"/>
        <w:ind w:left="0"/>
        <w:jc w:val="both"/>
      </w:pPr>
      <w:r>
        <w:rPr>
          <w:rFonts w:ascii="Times New Roman"/>
          <w:b w:val="false"/>
          <w:i w:val="false"/>
          <w:color w:val="000000"/>
          <w:sz w:val="28"/>
        </w:rPr>
        <w:t>
      90. ПТС с подвижными опорами должны быть оборудованы анемометром, подающим звуковой сигнал при скорости ветра, превышающей указанную в паспорте.</w:t>
      </w:r>
    </w:p>
    <w:bookmarkEnd w:id="179"/>
    <w:bookmarkStart w:name="z183" w:id="180"/>
    <w:p>
      <w:pPr>
        <w:spacing w:after="0"/>
        <w:ind w:left="0"/>
        <w:jc w:val="both"/>
      </w:pPr>
      <w:r>
        <w:rPr>
          <w:rFonts w:ascii="Times New Roman"/>
          <w:b w:val="false"/>
          <w:i w:val="false"/>
          <w:color w:val="000000"/>
          <w:sz w:val="28"/>
        </w:rPr>
        <w:t>
      91. ПТС при работе на одном месте должно быть укреплено ручными захватами. ПТС, при работе которых требуется частое их передвижение, могут во время работы на захваты не устанавливаться, но они должны быть укреплены захватами при прекращении работы.</w:t>
      </w:r>
    </w:p>
    <w:bookmarkEnd w:id="180"/>
    <w:bookmarkStart w:name="z184" w:id="181"/>
    <w:p>
      <w:pPr>
        <w:spacing w:after="0"/>
        <w:ind w:left="0"/>
        <w:jc w:val="both"/>
      </w:pPr>
      <w:r>
        <w:rPr>
          <w:rFonts w:ascii="Times New Roman"/>
          <w:b w:val="false"/>
          <w:i w:val="false"/>
          <w:color w:val="000000"/>
          <w:sz w:val="28"/>
        </w:rPr>
        <w:t>
      92. В кабине оператора должны быть установлены указатели положения грузозахватного органа по высоте и вдоль пролета, указатель открытого и закрытого положения грейфера.</w:t>
      </w:r>
    </w:p>
    <w:bookmarkEnd w:id="181"/>
    <w:bookmarkStart w:name="z185" w:id="182"/>
    <w:p>
      <w:pPr>
        <w:spacing w:after="0"/>
        <w:ind w:left="0"/>
        <w:jc w:val="both"/>
      </w:pPr>
      <w:r>
        <w:rPr>
          <w:rFonts w:ascii="Times New Roman"/>
          <w:b w:val="false"/>
          <w:i w:val="false"/>
          <w:color w:val="000000"/>
          <w:sz w:val="28"/>
        </w:rPr>
        <w:t>
      Эти указатели должны допускать возможность регулировки шкалы для снятия накапливающихся погрешностей.</w:t>
      </w:r>
    </w:p>
    <w:bookmarkEnd w:id="182"/>
    <w:bookmarkStart w:name="z186" w:id="183"/>
    <w:p>
      <w:pPr>
        <w:spacing w:after="0"/>
        <w:ind w:left="0"/>
        <w:jc w:val="both"/>
      </w:pPr>
      <w:r>
        <w:rPr>
          <w:rFonts w:ascii="Times New Roman"/>
          <w:b w:val="false"/>
          <w:i w:val="false"/>
          <w:color w:val="000000"/>
          <w:sz w:val="28"/>
        </w:rPr>
        <w:t>
      93. Механизм подъема, механизм замыкания грейфера грейферных ПТС должны иметь устройства (концевые выключатели), автоматически останавливающие их:</w:t>
      </w:r>
    </w:p>
    <w:bookmarkEnd w:id="183"/>
    <w:bookmarkStart w:name="z187" w:id="184"/>
    <w:p>
      <w:pPr>
        <w:spacing w:after="0"/>
        <w:ind w:left="0"/>
        <w:jc w:val="both"/>
      </w:pPr>
      <w:r>
        <w:rPr>
          <w:rFonts w:ascii="Times New Roman"/>
          <w:b w:val="false"/>
          <w:i w:val="false"/>
          <w:color w:val="000000"/>
          <w:sz w:val="28"/>
        </w:rPr>
        <w:t>
      1) при подъеме, когда расстояние между буферами грузозахватного органа и грузовой тележкой достигает 1 м;</w:t>
      </w:r>
    </w:p>
    <w:bookmarkEnd w:id="184"/>
    <w:bookmarkStart w:name="z188" w:id="185"/>
    <w:p>
      <w:pPr>
        <w:spacing w:after="0"/>
        <w:ind w:left="0"/>
        <w:jc w:val="both"/>
      </w:pPr>
      <w:r>
        <w:rPr>
          <w:rFonts w:ascii="Times New Roman"/>
          <w:b w:val="false"/>
          <w:i w:val="false"/>
          <w:color w:val="000000"/>
          <w:sz w:val="28"/>
        </w:rPr>
        <w:t>
      2) при спуске, когда на барабане остаются навитыми не менее трех витков каната.</w:t>
      </w:r>
    </w:p>
    <w:bookmarkEnd w:id="185"/>
    <w:bookmarkStart w:name="z189" w:id="186"/>
    <w:p>
      <w:pPr>
        <w:spacing w:after="0"/>
        <w:ind w:left="0"/>
        <w:jc w:val="both"/>
      </w:pPr>
      <w:r>
        <w:rPr>
          <w:rFonts w:ascii="Times New Roman"/>
          <w:b w:val="false"/>
          <w:i w:val="false"/>
          <w:color w:val="000000"/>
          <w:sz w:val="28"/>
        </w:rPr>
        <w:t>
      94. Механизм передвижения грузовой тележки должен быть оборудован устройством (концевым выключателем), автоматически останавливающим ее на расстоянии не менее 5 м от площадки опоры или полиспастной тележки. Допускается последующее передвижение грузовой тележки к площадкам опор или к полиспастной тележке на пониженной скорости.</w:t>
      </w:r>
    </w:p>
    <w:bookmarkEnd w:id="186"/>
    <w:bookmarkStart w:name="z190" w:id="187"/>
    <w:p>
      <w:pPr>
        <w:spacing w:after="0"/>
        <w:ind w:left="0"/>
        <w:jc w:val="both"/>
      </w:pPr>
      <w:r>
        <w:rPr>
          <w:rFonts w:ascii="Times New Roman"/>
          <w:b w:val="false"/>
          <w:i w:val="false"/>
          <w:color w:val="000000"/>
          <w:sz w:val="28"/>
        </w:rPr>
        <w:t>
      95. Грузовая тележка должна быть устроена так, чтобы исключалось ее падение при поломке или сходе ходовых колес с несущего каната (канатов).</w:t>
      </w:r>
    </w:p>
    <w:bookmarkEnd w:id="187"/>
    <w:bookmarkStart w:name="z191" w:id="188"/>
    <w:p>
      <w:pPr>
        <w:spacing w:after="0"/>
        <w:ind w:left="0"/>
        <w:jc w:val="both"/>
      </w:pPr>
      <w:r>
        <w:rPr>
          <w:rFonts w:ascii="Times New Roman"/>
          <w:b w:val="false"/>
          <w:i w:val="false"/>
          <w:color w:val="000000"/>
          <w:sz w:val="28"/>
        </w:rPr>
        <w:t>
      96. Механизм передвижения грузовой тележки должен обеспечивать ревизионную скорость не более 0,5 м/с для осмотра и смазки канатов.</w:t>
      </w:r>
    </w:p>
    <w:bookmarkEnd w:id="188"/>
    <w:bookmarkStart w:name="z192" w:id="189"/>
    <w:p>
      <w:pPr>
        <w:spacing w:after="0"/>
        <w:ind w:left="0"/>
        <w:jc w:val="both"/>
      </w:pPr>
      <w:r>
        <w:rPr>
          <w:rFonts w:ascii="Times New Roman"/>
          <w:b w:val="false"/>
          <w:i w:val="false"/>
          <w:color w:val="000000"/>
          <w:sz w:val="28"/>
        </w:rPr>
        <w:t>
      97. Тормоз механизма передвижения грузовой тележки должен обеспечивать тормозной момент с учетом коэффициента запаса торможения не менее 1,25.</w:t>
      </w:r>
    </w:p>
    <w:bookmarkEnd w:id="189"/>
    <w:bookmarkStart w:name="z193" w:id="190"/>
    <w:p>
      <w:pPr>
        <w:spacing w:after="0"/>
        <w:ind w:left="0"/>
        <w:jc w:val="both"/>
      </w:pPr>
      <w:r>
        <w:rPr>
          <w:rFonts w:ascii="Times New Roman"/>
          <w:b w:val="false"/>
          <w:i w:val="false"/>
          <w:color w:val="000000"/>
          <w:sz w:val="28"/>
        </w:rPr>
        <w:t>
      98. Для грузовой тележки с канатоведущим шкивом механизма ее передвижения диаметр шкива должен составлять не менее 60 диаметров каната. Коэффициент сцепления каната с канатоведущим шкивом при расчете на статическую нагрузку должен быть не менее 1,5, с учетом динамических нагрузок не менее 1,25.</w:t>
      </w:r>
    </w:p>
    <w:bookmarkEnd w:id="190"/>
    <w:bookmarkStart w:name="z194" w:id="191"/>
    <w:p>
      <w:pPr>
        <w:spacing w:after="0"/>
        <w:ind w:left="0"/>
        <w:jc w:val="both"/>
      </w:pPr>
      <w:r>
        <w:rPr>
          <w:rFonts w:ascii="Times New Roman"/>
          <w:b w:val="false"/>
          <w:i w:val="false"/>
          <w:color w:val="000000"/>
          <w:sz w:val="28"/>
        </w:rPr>
        <w:t>
      99. Машинное помещение, кабина оператора и головки башен ПТС должны быть снабжены телефонной связью, позволяющей вести одновременный разговор между всеми пунктами.</w:t>
      </w:r>
    </w:p>
    <w:bookmarkEnd w:id="191"/>
    <w:bookmarkStart w:name="z195" w:id="192"/>
    <w:p>
      <w:pPr>
        <w:spacing w:after="0"/>
        <w:ind w:left="0"/>
        <w:jc w:val="both"/>
      </w:pPr>
      <w:r>
        <w:rPr>
          <w:rFonts w:ascii="Times New Roman"/>
          <w:b w:val="false"/>
          <w:i w:val="false"/>
          <w:color w:val="000000"/>
          <w:sz w:val="28"/>
        </w:rPr>
        <w:t>
      100. В машинном помещении ПТС, в кабине управления и на опорах должны быть вывешены таблички с указанием грузоподъемности ПТС, регистрационного номера и даты следующего испытания.</w:t>
      </w:r>
    </w:p>
    <w:bookmarkEnd w:id="192"/>
    <w:bookmarkStart w:name="z196" w:id="193"/>
    <w:p>
      <w:pPr>
        <w:spacing w:after="0"/>
        <w:ind w:left="0"/>
        <w:jc w:val="both"/>
      </w:pPr>
      <w:r>
        <w:rPr>
          <w:rFonts w:ascii="Times New Roman"/>
          <w:b w:val="false"/>
          <w:i w:val="false"/>
          <w:color w:val="000000"/>
          <w:sz w:val="28"/>
        </w:rPr>
        <w:t>
      101. Для осмотра несущих канатов и поддержек в пролете ПТС грузовые тележки должны быть снабжены площадками.</w:t>
      </w:r>
    </w:p>
    <w:bookmarkEnd w:id="193"/>
    <w:bookmarkStart w:name="z197" w:id="194"/>
    <w:p>
      <w:pPr>
        <w:spacing w:after="0"/>
        <w:ind w:left="0"/>
        <w:jc w:val="both"/>
      </w:pPr>
      <w:r>
        <w:rPr>
          <w:rFonts w:ascii="Times New Roman"/>
          <w:b w:val="false"/>
          <w:i w:val="false"/>
          <w:color w:val="000000"/>
          <w:sz w:val="28"/>
        </w:rPr>
        <w:t>
      102. На опорах ПТС должны быть площадки для подтяжки несущих канатов, обслуживания оборудования и входа на грузовую тележку.</w:t>
      </w:r>
    </w:p>
    <w:bookmarkEnd w:id="194"/>
    <w:bookmarkStart w:name="z198" w:id="195"/>
    <w:p>
      <w:pPr>
        <w:spacing w:after="0"/>
        <w:ind w:left="0"/>
        <w:jc w:val="both"/>
      </w:pPr>
      <w:r>
        <w:rPr>
          <w:rFonts w:ascii="Times New Roman"/>
          <w:b w:val="false"/>
          <w:i w:val="false"/>
          <w:color w:val="000000"/>
          <w:sz w:val="28"/>
        </w:rPr>
        <w:t>
      103. ПТС с качающимися опорами должны быть оборудованы площадками и монтажными блоками для посадки противовеса качающейся башни. Площадки должны быть рассчитаны на нагрузку от веса опоры при снятых несущих канатах.</w:t>
      </w:r>
    </w:p>
    <w:bookmarkEnd w:id="195"/>
    <w:bookmarkStart w:name="z199" w:id="196"/>
    <w:p>
      <w:pPr>
        <w:spacing w:after="0"/>
        <w:ind w:left="0"/>
        <w:jc w:val="both"/>
      </w:pPr>
      <w:r>
        <w:rPr>
          <w:rFonts w:ascii="Times New Roman"/>
          <w:b w:val="false"/>
          <w:i w:val="false"/>
          <w:color w:val="000000"/>
          <w:sz w:val="28"/>
        </w:rPr>
        <w:t>
      104. Несущие канаты должны быть закрытой конструкции и выполнены из одного куска.</w:t>
      </w:r>
    </w:p>
    <w:bookmarkEnd w:id="196"/>
    <w:bookmarkStart w:name="z200" w:id="197"/>
    <w:p>
      <w:pPr>
        <w:spacing w:after="0"/>
        <w:ind w:left="0"/>
        <w:jc w:val="both"/>
      </w:pPr>
      <w:r>
        <w:rPr>
          <w:rFonts w:ascii="Times New Roman"/>
          <w:b w:val="false"/>
          <w:i w:val="false"/>
          <w:color w:val="000000"/>
          <w:sz w:val="28"/>
        </w:rPr>
        <w:t>
      105. Устройство для крепления несущего каната на опорах должно быть шарнирным, позволяющим регулировать натяжение каната. При применении нескольких несущих канатов должно быть обеспечено равномерное натяжение канатов.</w:t>
      </w:r>
    </w:p>
    <w:bookmarkEnd w:id="197"/>
    <w:bookmarkStart w:name="z201" w:id="198"/>
    <w:p>
      <w:pPr>
        <w:spacing w:after="0"/>
        <w:ind w:left="0"/>
        <w:jc w:val="both"/>
      </w:pPr>
      <w:r>
        <w:rPr>
          <w:rFonts w:ascii="Times New Roman"/>
          <w:b w:val="false"/>
          <w:i w:val="false"/>
          <w:color w:val="000000"/>
          <w:sz w:val="28"/>
        </w:rPr>
        <w:t>
      106. Статическое испытание ПТС производится нагрузкой, на 25 % превышающей его грузоподъемность. При этом грузовая тележка устанавливается посередине пролета, груз поднимается на высоту 200 - 300 мм и выдерживается в таком положении в течение 30 минут. После этого производится проверка состояния заделки несущих канатов в муфтах и общего состояния ПТС.</w:t>
      </w:r>
    </w:p>
    <w:bookmarkEnd w:id="198"/>
    <w:bookmarkStart w:name="z202" w:id="199"/>
    <w:p>
      <w:pPr>
        <w:spacing w:after="0"/>
        <w:ind w:left="0"/>
        <w:jc w:val="both"/>
      </w:pPr>
      <w:r>
        <w:rPr>
          <w:rFonts w:ascii="Times New Roman"/>
          <w:b w:val="false"/>
          <w:i w:val="false"/>
          <w:color w:val="000000"/>
          <w:sz w:val="28"/>
        </w:rPr>
        <w:t>
      107. При динамическом испытании ПТС производятся:</w:t>
      </w:r>
    </w:p>
    <w:bookmarkEnd w:id="199"/>
    <w:bookmarkStart w:name="z203" w:id="200"/>
    <w:p>
      <w:pPr>
        <w:spacing w:after="0"/>
        <w:ind w:left="0"/>
        <w:jc w:val="both"/>
      </w:pPr>
      <w:r>
        <w:rPr>
          <w:rFonts w:ascii="Times New Roman"/>
          <w:b w:val="false"/>
          <w:i w:val="false"/>
          <w:color w:val="000000"/>
          <w:sz w:val="28"/>
        </w:rPr>
        <w:t>
      1) повторный подъем и опускание груза с остановками на разных высотах;</w:t>
      </w:r>
    </w:p>
    <w:bookmarkEnd w:id="200"/>
    <w:bookmarkStart w:name="z204" w:id="201"/>
    <w:p>
      <w:pPr>
        <w:spacing w:after="0"/>
        <w:ind w:left="0"/>
        <w:jc w:val="both"/>
      </w:pPr>
      <w:r>
        <w:rPr>
          <w:rFonts w:ascii="Times New Roman"/>
          <w:b w:val="false"/>
          <w:i w:val="false"/>
          <w:color w:val="000000"/>
          <w:sz w:val="28"/>
        </w:rPr>
        <w:t>
      2) повторное передвижение грузовой тележки с грузом с остановкой в разных точках пролета;</w:t>
      </w:r>
    </w:p>
    <w:bookmarkEnd w:id="201"/>
    <w:bookmarkStart w:name="z205" w:id="202"/>
    <w:p>
      <w:pPr>
        <w:spacing w:after="0"/>
        <w:ind w:left="0"/>
        <w:jc w:val="both"/>
      </w:pPr>
      <w:r>
        <w:rPr>
          <w:rFonts w:ascii="Times New Roman"/>
          <w:b w:val="false"/>
          <w:i w:val="false"/>
          <w:color w:val="000000"/>
          <w:sz w:val="28"/>
        </w:rPr>
        <w:t>
      3) повторные передвижения ПТС в разных направлениях на разную величину;</w:t>
      </w:r>
    </w:p>
    <w:bookmarkEnd w:id="202"/>
    <w:bookmarkStart w:name="z206" w:id="203"/>
    <w:p>
      <w:pPr>
        <w:spacing w:after="0"/>
        <w:ind w:left="0"/>
        <w:jc w:val="both"/>
      </w:pPr>
      <w:r>
        <w:rPr>
          <w:rFonts w:ascii="Times New Roman"/>
          <w:b w:val="false"/>
          <w:i w:val="false"/>
          <w:color w:val="000000"/>
          <w:sz w:val="28"/>
        </w:rPr>
        <w:t>
      4) повторный подъем или опускание груза с одновременным перемещением грузовой тележки.</w:t>
      </w:r>
    </w:p>
    <w:bookmarkEnd w:id="203"/>
    <w:bookmarkStart w:name="z207" w:id="204"/>
    <w:p>
      <w:pPr>
        <w:spacing w:after="0"/>
        <w:ind w:left="0"/>
        <w:jc w:val="both"/>
      </w:pPr>
      <w:r>
        <w:rPr>
          <w:rFonts w:ascii="Times New Roman"/>
          <w:b w:val="false"/>
          <w:i w:val="false"/>
          <w:color w:val="000000"/>
          <w:sz w:val="28"/>
        </w:rPr>
        <w:t>
      108. Провес несущего каната измеряется при расположении тележки с наибольшим рабочим грузом посередине пролета. Фактическая величина провеса не должна отличаться от проектной на величину, превышающую установленный допуск. Проверка соответствия положения качающейся опоры проектному производится при расположении порожней тележки у некачающейся опоры.</w:t>
      </w:r>
    </w:p>
    <w:bookmarkEnd w:id="204"/>
    <w:bookmarkStart w:name="z208" w:id="205"/>
    <w:p>
      <w:pPr>
        <w:spacing w:after="0"/>
        <w:ind w:left="0"/>
        <w:jc w:val="both"/>
      </w:pPr>
      <w:r>
        <w:rPr>
          <w:rFonts w:ascii="Times New Roman"/>
          <w:b w:val="false"/>
          <w:i w:val="false"/>
          <w:color w:val="000000"/>
          <w:sz w:val="28"/>
        </w:rPr>
        <w:t>
      109. При проверке путей ПТС измеряют угол наклона для наклонных путей, прямолинейность и горизонтальность путей, расстояние между путями одной опоры и между путями противоположных опор.</w:t>
      </w:r>
    </w:p>
    <w:bookmarkEnd w:id="205"/>
    <w:bookmarkStart w:name="z209" w:id="206"/>
    <w:p>
      <w:pPr>
        <w:spacing w:after="0"/>
        <w:ind w:left="0"/>
        <w:jc w:val="both"/>
      </w:pPr>
      <w:r>
        <w:rPr>
          <w:rFonts w:ascii="Times New Roman"/>
          <w:b w:val="false"/>
          <w:i w:val="false"/>
          <w:color w:val="000000"/>
          <w:sz w:val="28"/>
        </w:rPr>
        <w:t>
      Проверка состояния путей ПТС, анкеровки канатов в муфтах и замер натяжения в оттяжках опор, проверка соответствия проекту провеса несущих канатов и положения качающейся опоры в процессе эксплуатации должны производиться при каждом техническом освидетельствовании кабельного ПТС.</w:t>
      </w:r>
    </w:p>
    <w:bookmarkEnd w:id="206"/>
    <w:bookmarkStart w:name="z210" w:id="207"/>
    <w:p>
      <w:pPr>
        <w:spacing w:after="0"/>
        <w:ind w:left="0"/>
        <w:jc w:val="left"/>
      </w:pPr>
      <w:r>
        <w:rPr>
          <w:rFonts w:ascii="Times New Roman"/>
          <w:b/>
          <w:i w:val="false"/>
          <w:color w:val="000000"/>
        </w:rPr>
        <w:t xml:space="preserve"> 15. Требования при консервации и ликвидации</w:t>
      </w:r>
    </w:p>
    <w:bookmarkEnd w:id="207"/>
    <w:bookmarkStart w:name="z211" w:id="208"/>
    <w:p>
      <w:pPr>
        <w:spacing w:after="0"/>
        <w:ind w:left="0"/>
        <w:jc w:val="both"/>
      </w:pPr>
      <w:r>
        <w:rPr>
          <w:rFonts w:ascii="Times New Roman"/>
          <w:b w:val="false"/>
          <w:i w:val="false"/>
          <w:color w:val="000000"/>
          <w:sz w:val="28"/>
        </w:rPr>
        <w:t>
      110. Работы по консервации и ликвидации подъемно-транспортных средств производятся на основании проектной документации, обеспечивающей решения по промышленной безопасности и охране окружающей среды.</w:t>
      </w:r>
    </w:p>
    <w:bookmarkEnd w:id="208"/>
    <w:bookmarkStart w:name="z212" w:id="209"/>
    <w:p>
      <w:pPr>
        <w:spacing w:after="0"/>
        <w:ind w:left="0"/>
        <w:jc w:val="left"/>
      </w:pPr>
      <w:r>
        <w:rPr>
          <w:rFonts w:ascii="Times New Roman"/>
          <w:b/>
          <w:i w:val="false"/>
          <w:color w:val="000000"/>
        </w:rPr>
        <w:t xml:space="preserve"> 16. Подтверждение соответствия</w:t>
      </w:r>
    </w:p>
    <w:bookmarkEnd w:id="209"/>
    <w:bookmarkStart w:name="z213" w:id="210"/>
    <w:p>
      <w:pPr>
        <w:spacing w:after="0"/>
        <w:ind w:left="0"/>
        <w:jc w:val="both"/>
      </w:pPr>
      <w:r>
        <w:rPr>
          <w:rFonts w:ascii="Times New Roman"/>
          <w:b w:val="false"/>
          <w:i w:val="false"/>
          <w:color w:val="000000"/>
          <w:sz w:val="28"/>
        </w:rPr>
        <w:t>
      111. Подтверждение соответствия ПТС требованиям настоящего Технического регламента и иных Технических регламентов, к сфере применения которых относятся ПТС, осуществляется в форме обязательной сертификации.</w:t>
      </w:r>
    </w:p>
    <w:bookmarkEnd w:id="210"/>
    <w:bookmarkStart w:name="z214" w:id="211"/>
    <w:p>
      <w:pPr>
        <w:spacing w:after="0"/>
        <w:ind w:left="0"/>
        <w:jc w:val="both"/>
      </w:pPr>
      <w:r>
        <w:rPr>
          <w:rFonts w:ascii="Times New Roman"/>
          <w:b w:val="false"/>
          <w:i w:val="false"/>
          <w:color w:val="000000"/>
          <w:sz w:val="28"/>
        </w:rPr>
        <w:t xml:space="preserve">
      112. Подтверждение соответствия осуществляется в соответствии с законодательством Республики Казахстан в области технического регулирования 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211"/>
    <w:bookmarkStart w:name="z215" w:id="212"/>
    <w:p>
      <w:pPr>
        <w:spacing w:after="0"/>
        <w:ind w:left="0"/>
        <w:jc w:val="left"/>
      </w:pPr>
      <w:r>
        <w:rPr>
          <w:rFonts w:ascii="Times New Roman"/>
          <w:b/>
          <w:i w:val="false"/>
          <w:color w:val="000000"/>
        </w:rPr>
        <w:t xml:space="preserve"> 17. Сроки и условия введения в действие Технического регламента</w:t>
      </w:r>
    </w:p>
    <w:bookmarkEnd w:id="212"/>
    <w:bookmarkStart w:name="z216" w:id="213"/>
    <w:p>
      <w:pPr>
        <w:spacing w:after="0"/>
        <w:ind w:left="0"/>
        <w:jc w:val="both"/>
      </w:pPr>
      <w:r>
        <w:rPr>
          <w:rFonts w:ascii="Times New Roman"/>
          <w:b w:val="false"/>
          <w:i w:val="false"/>
          <w:color w:val="000000"/>
          <w:sz w:val="28"/>
        </w:rPr>
        <w:t>
      113.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p>
    <w:bookmarkEnd w:id="213"/>
    <w:bookmarkStart w:name="z217" w:id="214"/>
    <w:p>
      <w:pPr>
        <w:spacing w:after="0"/>
        <w:ind w:left="0"/>
        <w:jc w:val="both"/>
      </w:pPr>
      <w:r>
        <w:rPr>
          <w:rFonts w:ascii="Times New Roman"/>
          <w:b w:val="false"/>
          <w:i w:val="false"/>
          <w:color w:val="000000"/>
          <w:sz w:val="28"/>
        </w:rPr>
        <w:t>
      114.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p>
    <w:bookmarkEnd w:id="214"/>
    <w:bookmarkStart w:name="z218" w:id="215"/>
    <w:p>
      <w:pPr>
        <w:spacing w:after="0"/>
        <w:ind w:left="0"/>
        <w:jc w:val="both"/>
      </w:pPr>
      <w:r>
        <w:rPr>
          <w:rFonts w:ascii="Times New Roman"/>
          <w:b w:val="false"/>
          <w:i w:val="false"/>
          <w:color w:val="000000"/>
          <w:sz w:val="28"/>
        </w:rPr>
        <w:t>
      115. Настоящий Технический регламент вводится в действие по истечении шести месяцев со дня первого официального опубликования.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p>
        </w:tc>
      </w:tr>
    </w:tbl>
    <w:bookmarkStart w:name="z220" w:id="216"/>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на которую распространяются требования настоящего</w:t>
      </w:r>
      <w:r>
        <w:br/>
      </w:r>
      <w:r>
        <w:rPr>
          <w:rFonts w:ascii="Times New Roman"/>
          <w:b/>
          <w:i w:val="false"/>
          <w:color w:val="000000"/>
        </w:rPr>
        <w:t>Технического регламента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4"/>
        <w:gridCol w:w="3626"/>
      </w:tblGrid>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РК</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r>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w:t>
            </w:r>
            <w:r>
              <w:br/>
            </w:r>
            <w:r>
              <w:rPr>
                <w:rFonts w:ascii="Times New Roman"/>
                <w:b w:val="false"/>
                <w:i w:val="false"/>
                <w:color w:val="000000"/>
                <w:sz w:val="20"/>
              </w:rPr>
              <w:t>
погрузки или разгрузки (например, лифты,</w:t>
            </w:r>
            <w:r>
              <w:br/>
            </w:r>
            <w:r>
              <w:rPr>
                <w:rFonts w:ascii="Times New Roman"/>
                <w:b w:val="false"/>
                <w:i w:val="false"/>
                <w:color w:val="000000"/>
                <w:sz w:val="20"/>
              </w:rPr>
              <w:t>
эскалаторы, конвейеры, канатные дороги) прочие:</w:t>
            </w:r>
          </w:p>
        </w:tc>
      </w:tr>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электрическим управлением</w:t>
            </w:r>
          </w:p>
        </w:tc>
      </w:tr>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