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0c5f" w14:textId="5560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17 марта 2006 года № 67"</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2010 года № 1457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17 марта 2006 года № 67".</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 внесении изменений и дополнений в Указ Президента Республики Казахстан от 17 марта 2006 года № 67</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br/>
      </w: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марта 2006 года № 67 "О Стратегическом плане устойчивого развития города Астаны до 2030 года" (САПП Республики Казахстан, 2006 г., № 8, ст. 65) следующие изменения и дополнения:</w:t>
      </w:r>
      <w:r>
        <w:br/>
      </w:r>
      <w:r>
        <w:rPr>
          <w:rFonts w:ascii="Times New Roman"/>
          <w:b w:val="false"/>
          <w:i w:val="false"/>
          <w:color w:val="000000"/>
          <w:sz w:val="28"/>
        </w:rPr>
        <w:t>
      в Стратегическом плане устойчивого развития города Астаны до 2030 года, утвержденном вышеназванным Указом:</w:t>
      </w:r>
      <w:r>
        <w:br/>
      </w:r>
      <w:r>
        <w:rPr>
          <w:rFonts w:ascii="Times New Roman"/>
          <w:b w:val="false"/>
          <w:i w:val="false"/>
          <w:color w:val="000000"/>
          <w:sz w:val="28"/>
        </w:rPr>
        <w:t>
      в "Введение":</w:t>
      </w:r>
      <w:r>
        <w:br/>
      </w:r>
      <w:r>
        <w:rPr>
          <w:rFonts w:ascii="Times New Roman"/>
          <w:b w:val="false"/>
          <w:i w:val="false"/>
          <w:color w:val="000000"/>
          <w:sz w:val="28"/>
        </w:rPr>
        <w:t>
      в части тринадцатой слова "определены среднесрочные программы развития города Астаны" заменить словами: "определена программа развития территорий";</w:t>
      </w:r>
      <w:r>
        <w:br/>
      </w:r>
      <w:r>
        <w:rPr>
          <w:rFonts w:ascii="Times New Roman"/>
          <w:b w:val="false"/>
          <w:i w:val="false"/>
          <w:color w:val="000000"/>
          <w:sz w:val="28"/>
        </w:rPr>
        <w:t>
      в части четырнадцатой слова "среднесрочных планов социально-экономического развития" заменить словами "программы развития территорий";</w:t>
      </w:r>
      <w:r>
        <w:br/>
      </w:r>
      <w:r>
        <w:rPr>
          <w:rFonts w:ascii="Times New Roman"/>
          <w:b w:val="false"/>
          <w:i w:val="false"/>
          <w:color w:val="000000"/>
          <w:sz w:val="28"/>
        </w:rPr>
        <w:t>
      в разделе 4. "Стратегические цели устойчивого развития города Астаны":</w:t>
      </w:r>
      <w:r>
        <w:br/>
      </w:r>
      <w:r>
        <w:rPr>
          <w:rFonts w:ascii="Times New Roman"/>
          <w:b w:val="false"/>
          <w:i w:val="false"/>
          <w:color w:val="000000"/>
          <w:sz w:val="28"/>
        </w:rPr>
        <w:t>
      в подразделе 4.1. "Обеспечение устойчивого экономического развития":</w:t>
      </w:r>
      <w:r>
        <w:br/>
      </w:r>
      <w:r>
        <w:rPr>
          <w:rFonts w:ascii="Times New Roman"/>
          <w:b w:val="false"/>
          <w:i w:val="false"/>
          <w:color w:val="000000"/>
          <w:sz w:val="28"/>
        </w:rPr>
        <w:t>
      в главе 4.1.2. "Стратегические задачи по устойчивому экономическому развитию города Астаны":</w:t>
      </w:r>
      <w:r>
        <w:br/>
      </w:r>
      <w:r>
        <w:rPr>
          <w:rFonts w:ascii="Times New Roman"/>
          <w:b w:val="false"/>
          <w:i w:val="false"/>
          <w:color w:val="000000"/>
          <w:sz w:val="28"/>
        </w:rPr>
        <w:t>
      в "Создание условий для инновационной и научно-технической деятельности":</w:t>
      </w:r>
      <w:r>
        <w:br/>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"Поставщиком кадров в области высоких технологий станут вузы города. Одним из поставщиков кадровых ресурсов выступит вуз международного уровня - "Назарбаев Университет", призванный обеспечивать подготовку высококвалифицированных кадров для экономики Казахстана. Кроме того, Астана как столица притягивает высококвалифицированные молодые кадры, обученные в передовых и престижных учебных заведениях развитых стран мира.";</w:t>
      </w:r>
      <w:r>
        <w:br/>
      </w:r>
      <w:r>
        <w:rPr>
          <w:rFonts w:ascii="Times New Roman"/>
          <w:b w:val="false"/>
          <w:i w:val="false"/>
          <w:color w:val="000000"/>
          <w:sz w:val="28"/>
        </w:rPr>
        <w:t>
      часть двенадцатую дополнить предложением третьим следующего содержания:</w:t>
      </w:r>
      <w:r>
        <w:br/>
      </w:r>
      <w:r>
        <w:rPr>
          <w:rFonts w:ascii="Times New Roman"/>
          <w:b w:val="false"/>
          <w:i w:val="false"/>
          <w:color w:val="000000"/>
          <w:sz w:val="28"/>
        </w:rPr>
        <w:t>
      "Развитие сферы производства строительных материалов будет ориентировано на поддержку местных производителей (замещение импорта) и стимулирование экспорта. Содействие со стороны государства будет направлено на реализацию инвестиционных проектов в сфере строительной индустрии, в том числе на территории Индустриального парка.";</w:t>
      </w:r>
      <w:r>
        <w:br/>
      </w:r>
      <w:r>
        <w:rPr>
          <w:rFonts w:ascii="Times New Roman"/>
          <w:b w:val="false"/>
          <w:i w:val="false"/>
          <w:color w:val="000000"/>
          <w:sz w:val="28"/>
        </w:rPr>
        <w:t>
      в "Развитие конкуренции и создание благоприятного инвестиционного климата":</w:t>
      </w:r>
      <w:r>
        <w:br/>
      </w:r>
      <w:r>
        <w:rPr>
          <w:rFonts w:ascii="Times New Roman"/>
          <w:b w:val="false"/>
          <w:i w:val="false"/>
          <w:color w:val="000000"/>
          <w:sz w:val="28"/>
        </w:rPr>
        <w:t>
      в части первой:</w:t>
      </w:r>
      <w:r>
        <w:br/>
      </w:r>
      <w:r>
        <w:rPr>
          <w:rFonts w:ascii="Times New Roman"/>
          <w:b w:val="false"/>
          <w:i w:val="false"/>
          <w:color w:val="000000"/>
          <w:sz w:val="28"/>
        </w:rPr>
        <w:t>
      абзац пятый дополнить словами: ", снижения стоимости ведения бизнеса, как для отечественных предпринимателей, так и для международных инвесторов;";</w:t>
      </w:r>
      <w:r>
        <w:br/>
      </w:r>
      <w:r>
        <w:rPr>
          <w:rFonts w:ascii="Times New Roman"/>
          <w:b w:val="false"/>
          <w:i w:val="false"/>
          <w:color w:val="000000"/>
          <w:sz w:val="28"/>
        </w:rPr>
        <w:t>
      в абзаце седьмом слово "городе." заменить словом "городе;";</w:t>
      </w:r>
      <w:r>
        <w:br/>
      </w:r>
      <w:r>
        <w:rPr>
          <w:rFonts w:ascii="Times New Roman"/>
          <w:b w:val="false"/>
          <w:i w:val="false"/>
          <w:color w:val="000000"/>
          <w:sz w:val="28"/>
        </w:rPr>
        <w:t>
      дополнить абзацем восьмым следующего содержания:</w:t>
      </w:r>
      <w:r>
        <w:br/>
      </w:r>
      <w:r>
        <w:rPr>
          <w:rFonts w:ascii="Times New Roman"/>
          <w:b w:val="false"/>
          <w:i w:val="false"/>
          <w:color w:val="000000"/>
          <w:sz w:val="28"/>
        </w:rPr>
        <w:t>
      "противостояния реализации неэффективных проектов, повышения открытости и прозрачности процесса расходования государственных средств.";</w:t>
      </w:r>
      <w:r>
        <w:br/>
      </w:r>
      <w:r>
        <w:rPr>
          <w:rFonts w:ascii="Times New Roman"/>
          <w:b w:val="false"/>
          <w:i w:val="false"/>
          <w:color w:val="000000"/>
          <w:sz w:val="28"/>
        </w:rPr>
        <w:t>
      в "Обеспечение населения доступными коммунальными услугами высокого качества":</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"Каждый год из местного бюджета направляется 250 - 300 млн. долл. США на поддержку и развитие инфраструктуры города. Оценка проектов будет осуществляться согласно разработанным критериям отбора инвестиционных проектов, включающим требования по экономической обоснованности, внедрению современных ресурсосберегающих технологий.";</w:t>
      </w:r>
      <w:r>
        <w:br/>
      </w:r>
      <w:r>
        <w:rPr>
          <w:rFonts w:ascii="Times New Roman"/>
          <w:b w:val="false"/>
          <w:i w:val="false"/>
          <w:color w:val="000000"/>
          <w:sz w:val="28"/>
        </w:rPr>
        <w:t>
      в части второй после слов "2006 - 2010 годы." дополнить словами:</w:t>
      </w:r>
      <w:r>
        <w:br/>
      </w:r>
      <w:r>
        <w:rPr>
          <w:rFonts w:ascii="Times New Roman"/>
          <w:b w:val="false"/>
          <w:i w:val="false"/>
          <w:color w:val="000000"/>
          <w:sz w:val="28"/>
        </w:rPr>
        <w:t>
      ", программой развития территорий. Также обеспечение полного охвата населения качественными коммунальными услугами будет осуществляться путем создания стимулирующих рыночных условий в сфере жилищно-коммунального хозяйства и эффективного взаимодействия граждан, поставщиков жилищно-коммунальных услуг и местных государственных органов.";</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"Также модернизация инфраструктуры жилищно-коммунального хозяйства будет сопровождаться снижением удельных эксплуатационных затрат, внедрением ресурсосберегающих технологий, повышением эффективности тарифного регулирования, позволяющего сократить нормативные потери.";</w:t>
      </w:r>
      <w:r>
        <w:br/>
      </w:r>
      <w:r>
        <w:rPr>
          <w:rFonts w:ascii="Times New Roman"/>
          <w:b w:val="false"/>
          <w:i w:val="false"/>
          <w:color w:val="000000"/>
          <w:sz w:val="28"/>
        </w:rPr>
        <w:t>
      в подразделе 4.2. "Поддержание благоприятной окружающей среды и устойчиво функционирующей инфраструктуры":</w:t>
      </w:r>
      <w:r>
        <w:br/>
      </w:r>
      <w:r>
        <w:rPr>
          <w:rFonts w:ascii="Times New Roman"/>
          <w:b w:val="false"/>
          <w:i w:val="false"/>
          <w:color w:val="000000"/>
          <w:sz w:val="28"/>
        </w:rPr>
        <w:t>
      в главе 4.2.1. "Городское планирование и дизайн":</w:t>
      </w:r>
      <w:r>
        <w:br/>
      </w:r>
      <w:r>
        <w:rPr>
          <w:rFonts w:ascii="Times New Roman"/>
          <w:b w:val="false"/>
          <w:i w:val="false"/>
          <w:color w:val="000000"/>
          <w:sz w:val="28"/>
        </w:rPr>
        <w:t>
      в пункте 2. "Стратегические задачи по устойчивому городскому планированию и дизайну в городе Астане":</w:t>
      </w:r>
      <w:r>
        <w:br/>
      </w:r>
      <w:r>
        <w:rPr>
          <w:rFonts w:ascii="Times New Roman"/>
          <w:b w:val="false"/>
          <w:i w:val="false"/>
          <w:color w:val="000000"/>
          <w:sz w:val="28"/>
        </w:rPr>
        <w:t>
      в "Использование новых подходов к градостроительному планированию, придание городу самобытности и индивидуальности":</w:t>
      </w:r>
      <w:r>
        <w:br/>
      </w:r>
      <w:r>
        <w:rPr>
          <w:rFonts w:ascii="Times New Roman"/>
          <w:b w:val="false"/>
          <w:i w:val="false"/>
          <w:color w:val="000000"/>
          <w:sz w:val="28"/>
        </w:rPr>
        <w:t>
      в части девятой слова "разработана долгосрочная программа" заменить словами "будут приняты меры по реализации их в рамках программы развития территорий";</w:t>
      </w:r>
      <w:r>
        <w:br/>
      </w:r>
      <w:r>
        <w:rPr>
          <w:rFonts w:ascii="Times New Roman"/>
          <w:b w:val="false"/>
          <w:i w:val="false"/>
          <w:color w:val="000000"/>
          <w:sz w:val="28"/>
        </w:rPr>
        <w:t>
      абзац третий в части тринадцатой исключить;</w:t>
      </w:r>
      <w:r>
        <w:br/>
      </w:r>
      <w:r>
        <w:rPr>
          <w:rFonts w:ascii="Times New Roman"/>
          <w:b w:val="false"/>
          <w:i w:val="false"/>
          <w:color w:val="000000"/>
          <w:sz w:val="28"/>
        </w:rPr>
        <w:t>
      в главе 4.2.2. "Экологическая инфраструктура":</w:t>
      </w:r>
      <w:r>
        <w:br/>
      </w:r>
      <w:r>
        <w:rPr>
          <w:rFonts w:ascii="Times New Roman"/>
          <w:b w:val="false"/>
          <w:i w:val="false"/>
          <w:color w:val="000000"/>
          <w:sz w:val="28"/>
        </w:rPr>
        <w:t>
      в пункте 2. "Стратегические задачи по обеспечению устойчивой экологической инфраструктуры города Астаны":</w:t>
      </w:r>
      <w:r>
        <w:br/>
      </w:r>
      <w:r>
        <w:rPr>
          <w:rFonts w:ascii="Times New Roman"/>
          <w:b w:val="false"/>
          <w:i w:val="false"/>
          <w:color w:val="000000"/>
          <w:sz w:val="28"/>
        </w:rPr>
        <w:t>
      в "Минимизация и переработка отходов":</w:t>
      </w:r>
      <w:r>
        <w:br/>
      </w:r>
      <w:r>
        <w:rPr>
          <w:rFonts w:ascii="Times New Roman"/>
          <w:b w:val="false"/>
          <w:i w:val="false"/>
          <w:color w:val="000000"/>
          <w:sz w:val="28"/>
        </w:rPr>
        <w:t>
      в части второй цифры "15", "2010", "80", заменить соответственно цифрами "24", "2015", "50";</w:t>
      </w:r>
      <w:r>
        <w:br/>
      </w:r>
      <w:r>
        <w:rPr>
          <w:rFonts w:ascii="Times New Roman"/>
          <w:b w:val="false"/>
          <w:i w:val="false"/>
          <w:color w:val="000000"/>
          <w:sz w:val="28"/>
        </w:rPr>
        <w:t>
      в главе 4.2.4. "Транспортная инфраструктура":</w:t>
      </w:r>
      <w:r>
        <w:br/>
      </w:r>
      <w:r>
        <w:rPr>
          <w:rFonts w:ascii="Times New Roman"/>
          <w:b w:val="false"/>
          <w:i w:val="false"/>
          <w:color w:val="000000"/>
          <w:sz w:val="28"/>
        </w:rPr>
        <w:t>
      в пункте 2. "Стратегические задачи по обеспечению эффективной транспортной инфраструктуры города Астаны":</w:t>
      </w:r>
      <w:r>
        <w:br/>
      </w:r>
      <w:r>
        <w:rPr>
          <w:rFonts w:ascii="Times New Roman"/>
          <w:b w:val="false"/>
          <w:i w:val="false"/>
          <w:color w:val="000000"/>
          <w:sz w:val="28"/>
        </w:rPr>
        <w:t>
      в "Развитие общественного транспорта и пешеходного движения":</w:t>
      </w:r>
      <w:r>
        <w:br/>
      </w:r>
      <w:r>
        <w:rPr>
          <w:rFonts w:ascii="Times New Roman"/>
          <w:b w:val="false"/>
          <w:i w:val="false"/>
          <w:color w:val="000000"/>
          <w:sz w:val="28"/>
        </w:rPr>
        <w:t>
      в части первой после слов "2006 - 2010 годы" дополнить словами ", программы развития территорий";</w:t>
      </w:r>
      <w:r>
        <w:br/>
      </w:r>
      <w:r>
        <w:rPr>
          <w:rFonts w:ascii="Times New Roman"/>
          <w:b w:val="false"/>
          <w:i w:val="false"/>
          <w:color w:val="000000"/>
          <w:sz w:val="28"/>
        </w:rPr>
        <w:t>
      в части пятой слова "транспортной системы города на 2010 - 2030 годы" заменить словами: "развития территорий на 2011 - 2015 годы";</w:t>
      </w:r>
      <w:r>
        <w:br/>
      </w:r>
      <w:r>
        <w:rPr>
          <w:rFonts w:ascii="Times New Roman"/>
          <w:b w:val="false"/>
          <w:i w:val="false"/>
          <w:color w:val="000000"/>
          <w:sz w:val="28"/>
        </w:rPr>
        <w:t>
      в подразделе 4.3. "Формирование социально устойчивого общества":</w:t>
      </w:r>
      <w:r>
        <w:br/>
      </w:r>
      <w:r>
        <w:rPr>
          <w:rFonts w:ascii="Times New Roman"/>
          <w:b w:val="false"/>
          <w:i w:val="false"/>
          <w:color w:val="000000"/>
          <w:sz w:val="28"/>
        </w:rPr>
        <w:t>
      в главе 4.3.1. "Формирование динамично развивающего общества":</w:t>
      </w:r>
      <w:r>
        <w:br/>
      </w:r>
      <w:r>
        <w:rPr>
          <w:rFonts w:ascii="Times New Roman"/>
          <w:b w:val="false"/>
          <w:i w:val="false"/>
          <w:color w:val="000000"/>
          <w:sz w:val="28"/>
        </w:rPr>
        <w:t>
      в пункте 2. "Стратегические задачи по формированию динамично развивающегося общества":</w:t>
      </w:r>
      <w:r>
        <w:br/>
      </w:r>
      <w:r>
        <w:rPr>
          <w:rFonts w:ascii="Times New Roman"/>
          <w:b w:val="false"/>
          <w:i w:val="false"/>
          <w:color w:val="000000"/>
          <w:sz w:val="28"/>
        </w:rPr>
        <w:t>
      в "Повышение доступности и качества услуг образования и здравоохранения":</w:t>
      </w:r>
      <w:r>
        <w:br/>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"Для решения указанных проблем необходимо повышение эффективности межсекторального и межведомственного взаимодействия по вопросам охраны общественного здоровья с формированием условий для всемерного развития физической культуры и спорта, проведение социальной политики по улучшению санитарно-гигиенической и эпидемиологической ситуации в городе, осуществление профилактики заболеваний социального характера, создание адекватной системы сохранения и укрепления здоровья населения, повышение ответственности работодателей за обеспечение безопасных условий труда, проведение профилактических осмотров работников и своевременного их оздоровления.</w:t>
      </w:r>
      <w:r>
        <w:br/>
      </w:r>
      <w:r>
        <w:rPr>
          <w:rFonts w:ascii="Times New Roman"/>
          <w:b w:val="false"/>
          <w:i w:val="false"/>
          <w:color w:val="000000"/>
          <w:sz w:val="28"/>
        </w:rPr>
        <w:t>
      Акимат также будет содействовать развитию государственно-частного партнерства в сфере здравоохранения.";</w:t>
      </w:r>
      <w:r>
        <w:br/>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"В целях повышения качества медицинских услуг населению, повышения эффективности вкладываемых в здравоохранение города инвестиций, будет продолжена работа по дальнейшему внедрению Единой национальной системы здравоохранения (далее - ЕНСЗ) с реализацией новой модели финансирования гарантированного объема бесплатной медицинской помощи (далее - ГОБМП), ориентированная на конечный результат и оплату за фактические расходы за лечение каждого конкретного заболевания, оплату на основе контроля качества, прозрачность оплаты медицинских услуг с внедрением медико-экономических тарифов, использование которых предусматривает развитие конкуренции, повышение прозрачности процесса оказания медицинских услуг. Всем потенциальным поставщикам, независимо от формы собственности, предоставляется право конкурировать и участвовать в размещении заказа государства на оказание ГОБМП. Для повышения эффективности деятельности системы здравоохранения планируется проведение аккредитации всех медицинских организаций, создание социально ориентированной модели первичной медико-санитарной помощи (далее - ПМСП) с увеличением уровня расходов на ПМСП до 40% к 2020 году от общего объема средств, выделяемых на ГОБМП, развитие службы восстановительного лечения и реабилитации инвалидов. Надлежащее развитие в организациях здравоохранения получит система внутрибольничного менеджмента и аудита медицинских услуг, ориентированная на повышение качества медицинских услуг населению столицы.";</w:t>
      </w:r>
      <w:r>
        <w:br/>
      </w:r>
      <w:r>
        <w:rPr>
          <w:rFonts w:ascii="Times New Roman"/>
          <w:b w:val="false"/>
          <w:i w:val="false"/>
          <w:color w:val="000000"/>
          <w:sz w:val="28"/>
        </w:rPr>
        <w:t>
      части девятую, десятую изложить в следующей редакции:</w:t>
      </w:r>
      <w:r>
        <w:br/>
      </w:r>
      <w:r>
        <w:rPr>
          <w:rFonts w:ascii="Times New Roman"/>
          <w:b w:val="false"/>
          <w:i w:val="false"/>
          <w:color w:val="000000"/>
          <w:sz w:val="28"/>
        </w:rPr>
        <w:t>
      "Строительство дошкольных учреждений позволит увеличить охват детей в возрасте от 1 до 7 лет, воспитывающихся в дошкольных организациях, с 41,8 % - в 2010 году, до 69 % в 2015 году и до 100 % - в 2020 году. Эти дошкольные организации также будут обеспечивать предшкольную подготовку 5-6 летних детей. Будут созданы условия, стимулирующие развитие частных поставщиков услуг дошкольного воспитания.</w:t>
      </w:r>
      <w:r>
        <w:br/>
      </w:r>
      <w:r>
        <w:rPr>
          <w:rFonts w:ascii="Times New Roman"/>
          <w:b w:val="false"/>
          <w:i w:val="false"/>
          <w:color w:val="000000"/>
          <w:sz w:val="28"/>
        </w:rPr>
        <w:t>
      В системе школьного образования будут решены проблемы дефицита учебных мест, ликвидированы к 2014 году 3-4-х сменные занятия. В 2015 году будет осуществлен переход на 12-летнюю модель обучения, предусматривающую всеобщее обязательное образование в течение 10 лет и профильное образование в течение последующих 2 лет. В техническом, профессиональном образовании подготовка кадров будет увязана с требованиями современного рынка труда, образовательные стандарты будут формироваться на профессиональных стандартах через Национальную квалификационную систему. Также в системе образования будет внедряться система электронного обучения.";</w:t>
      </w:r>
      <w:r>
        <w:br/>
      </w:r>
      <w:r>
        <w:rPr>
          <w:rFonts w:ascii="Times New Roman"/>
          <w:b w:val="false"/>
          <w:i w:val="false"/>
          <w:color w:val="000000"/>
          <w:sz w:val="28"/>
        </w:rPr>
        <w:t>
      в подразделе 4.4. "Совершенствование системы городского управления":</w:t>
      </w:r>
      <w:r>
        <w:br/>
      </w:r>
      <w:r>
        <w:rPr>
          <w:rFonts w:ascii="Times New Roman"/>
          <w:b w:val="false"/>
          <w:i w:val="false"/>
          <w:color w:val="000000"/>
          <w:sz w:val="28"/>
        </w:rPr>
        <w:t>
      в пункте 2. "Стратегические задачи по развитию системы городского управления в городе Астане":</w:t>
      </w:r>
      <w:r>
        <w:br/>
      </w:r>
      <w:r>
        <w:rPr>
          <w:rFonts w:ascii="Times New Roman"/>
          <w:b w:val="false"/>
          <w:i w:val="false"/>
          <w:color w:val="000000"/>
          <w:sz w:val="28"/>
        </w:rPr>
        <w:t>
      часть первую дополнить абзацем пятым следующего содержания:</w:t>
      </w:r>
      <w:r>
        <w:br/>
      </w:r>
      <w:r>
        <w:rPr>
          <w:rFonts w:ascii="Times New Roman"/>
          <w:b w:val="false"/>
          <w:i w:val="false"/>
          <w:color w:val="000000"/>
          <w:sz w:val="28"/>
        </w:rPr>
        <w:t>
      "внедрение элементов, необходимых для полноценного функционирования системы государственного управления, ориентированного на результат.";</w:t>
      </w:r>
      <w:r>
        <w:br/>
      </w:r>
      <w:r>
        <w:rPr>
          <w:rFonts w:ascii="Times New Roman"/>
          <w:b w:val="false"/>
          <w:i w:val="false"/>
          <w:color w:val="000000"/>
          <w:sz w:val="28"/>
        </w:rPr>
        <w:t>
      в "Повышение квалификации государственных служащих местных исполнительных органов и обучение их новым знаниям и навыкам по устойчивому развитию, системе стратегического управления":</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"К 2012 году будет введена система оценки деятельности государственных служащих, учитывающая объем и качество работы, степень ответственности, повышение профессионализма, соблюдение Кодекса чести государственных служащих; сформирован базовый образовательный центр по подготовке высококвалифицированных государственных служащих, ориентированных на результаты.";</w:t>
      </w:r>
      <w:r>
        <w:br/>
      </w:r>
      <w:r>
        <w:rPr>
          <w:rFonts w:ascii="Times New Roman"/>
          <w:b w:val="false"/>
          <w:i w:val="false"/>
          <w:color w:val="000000"/>
          <w:sz w:val="28"/>
        </w:rPr>
        <w:t>
      после части четвертой:</w:t>
      </w:r>
      <w:r>
        <w:br/>
      </w:r>
      <w:r>
        <w:rPr>
          <w:rFonts w:ascii="Times New Roman"/>
          <w:b w:val="false"/>
          <w:i w:val="false"/>
          <w:color w:val="000000"/>
          <w:sz w:val="28"/>
        </w:rPr>
        <w:t>
      дополнить заголовком следующего содержания:</w:t>
      </w:r>
      <w:r>
        <w:br/>
      </w:r>
      <w:r>
        <w:rPr>
          <w:rFonts w:ascii="Times New Roman"/>
          <w:b w:val="false"/>
          <w:i w:val="false"/>
          <w:color w:val="000000"/>
          <w:sz w:val="28"/>
        </w:rPr>
        <w:t>
      "Внедрение элементов, необходимых для полноценного функционирования системы государственного управления, ориентированного на результат";</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"В целях качественного изменения государственного планирования, обеспечения результативности и подотчетности государственного управления к 2011 году:</w:t>
      </w:r>
      <w:r>
        <w:br/>
      </w:r>
      <w:r>
        <w:rPr>
          <w:rFonts w:ascii="Times New Roman"/>
          <w:b w:val="false"/>
          <w:i w:val="false"/>
          <w:color w:val="000000"/>
          <w:sz w:val="28"/>
        </w:rPr>
        <w:t>
      все государственные органы примут пятилетние стратегические планы, основанные на Стратегический план развития Республики Казахстан до 2020, для обеспечения комплексного стратегического подхода к разработке и реализации государственной политики;</w:t>
      </w:r>
      <w:r>
        <w:br/>
      </w:r>
      <w:r>
        <w:rPr>
          <w:rFonts w:ascii="Times New Roman"/>
          <w:b w:val="false"/>
          <w:i w:val="false"/>
          <w:color w:val="000000"/>
          <w:sz w:val="28"/>
        </w:rPr>
        <w:t>
      в 2012 году будет внедрена система формирования и исполнения бюджета, основанная на индикаторах эффективности и результативности (бюджетирование, ориентированное на результат).";</w:t>
      </w:r>
      <w:r>
        <w:br/>
      </w:r>
      <w:r>
        <w:rPr>
          <w:rFonts w:ascii="Times New Roman"/>
          <w:b w:val="false"/>
          <w:i w:val="false"/>
          <w:color w:val="000000"/>
          <w:sz w:val="28"/>
        </w:rPr>
        <w:t>
      раздел 5. "Оценка показателей устойчивого развития города Астаны" изложить в следующей редакции:</w:t>
      </w:r>
      <w:r>
        <w:br/>
      </w:r>
      <w:r>
        <w:rPr>
          <w:rFonts w:ascii="Times New Roman"/>
          <w:b w:val="false"/>
          <w:i w:val="false"/>
          <w:color w:val="000000"/>
          <w:sz w:val="28"/>
        </w:rPr>
        <w:t>
      "5. Оценка показателей устойчивого развития города Астаны</w:t>
      </w:r>
      <w:r>
        <w:br/>
      </w:r>
      <w:r>
        <w:rPr>
          <w:rFonts w:ascii="Times New Roman"/>
          <w:b w:val="false"/>
          <w:i w:val="false"/>
          <w:color w:val="000000"/>
          <w:sz w:val="28"/>
        </w:rPr>
        <w:t>
      Достижение целей Стратегического плана приведет к формированию в городе диверсифицированной и конкурентной инновационной экономики, динамично развивающейся высокими темпами.</w:t>
      </w:r>
      <w:r>
        <w:br/>
      </w:r>
      <w:r>
        <w:rPr>
          <w:rFonts w:ascii="Times New Roman"/>
          <w:b w:val="false"/>
          <w:i w:val="false"/>
          <w:color w:val="000000"/>
          <w:sz w:val="28"/>
        </w:rPr>
        <w:t>
      Результаты расчетов приведены в таблице 1. По прогнозным расчетам, к 2030 году объем ВРП увеличится по сравнению с 2005 годом более чем в 4,8 раза, промышленного производства - в 3,5 раза.</w:t>
      </w:r>
      <w:r>
        <w:br/>
      </w:r>
      <w:r>
        <w:rPr>
          <w:rFonts w:ascii="Times New Roman"/>
          <w:b w:val="false"/>
          <w:i w:val="false"/>
          <w:color w:val="000000"/>
          <w:sz w:val="28"/>
        </w:rPr>
        <w:t>
      Эти результаты будут сопровождаться улучшением структуры промышленного производства города. Совсем иным станет качество его роста: преобладающее место будут занимать высокотехнологичные и наукоемкие продукты с высокой добавленной стоимостью, конкурентоспособные на казахстанском и мировом рынках. Город действительно превратится в инновационный центр с экологически чистым производством.</w:t>
      </w:r>
    </w:p>
    <w:p>
      <w:pPr>
        <w:spacing w:after="0"/>
        <w:ind w:left="0"/>
        <w:jc w:val="both"/>
      </w:pPr>
      <w:r>
        <w:rPr>
          <w:rFonts w:ascii="Times New Roman"/>
          <w:b w:val="false"/>
          <w:i w:val="false"/>
          <w:color w:val="000000"/>
          <w:sz w:val="28"/>
        </w:rPr>
        <w:t>Таблица 1</w:t>
      </w:r>
    </w:p>
    <w:p>
      <w:pPr>
        <w:spacing w:after="0"/>
        <w:ind w:left="0"/>
        <w:jc w:val="left"/>
      </w:pPr>
      <w:r>
        <w:rPr>
          <w:rFonts w:ascii="Times New Roman"/>
          <w:b/>
          <w:i w:val="false"/>
          <w:color w:val="000000"/>
        </w:rPr>
        <w:t xml:space="preserve"> Прогноз показателей устойчивого развития</w:t>
      </w:r>
      <w:r>
        <w:br/>
      </w:r>
      <w:r>
        <w:rPr>
          <w:rFonts w:ascii="Times New Roman"/>
          <w:b/>
          <w:i w:val="false"/>
          <w:color w:val="000000"/>
        </w:rPr>
        <w:t>
города Астаны до 2030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313"/>
        <w:gridCol w:w="1493"/>
        <w:gridCol w:w="1553"/>
        <w:gridCol w:w="1853"/>
        <w:gridCol w:w="1673"/>
        <w:gridCol w:w="1793"/>
        <w:gridCol w:w="16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факт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оценка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г.</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г.</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 млрд.</w:t>
            </w:r>
            <w:r>
              <w:br/>
            </w:r>
            <w:r>
              <w:rPr>
                <w:rFonts w:ascii="Times New Roman"/>
                <w:b w:val="false"/>
                <w:i w:val="false"/>
                <w:color w:val="000000"/>
                <w:sz w:val="20"/>
              </w:rPr>
              <w:t>
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промышлен-</w:t>
            </w:r>
            <w:r>
              <w:br/>
            </w:r>
            <w:r>
              <w:rPr>
                <w:rFonts w:ascii="Times New Roman"/>
                <w:b w:val="false"/>
                <w:i w:val="false"/>
                <w:color w:val="000000"/>
                <w:sz w:val="20"/>
              </w:rPr>
              <w:t>
ной про-</w:t>
            </w:r>
            <w:r>
              <w:br/>
            </w:r>
            <w:r>
              <w:rPr>
                <w:rFonts w:ascii="Times New Roman"/>
                <w:b w:val="false"/>
                <w:i w:val="false"/>
                <w:color w:val="000000"/>
                <w:sz w:val="20"/>
              </w:rPr>
              <w:t>
дукции,</w:t>
            </w:r>
            <w:r>
              <w:br/>
            </w:r>
            <w:r>
              <w:rPr>
                <w:rFonts w:ascii="Times New Roman"/>
                <w:b w:val="false"/>
                <w:i w:val="false"/>
                <w:color w:val="000000"/>
                <w:sz w:val="20"/>
              </w:rPr>
              <w:t>
млрд. 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населения,</w:t>
            </w:r>
            <w:r>
              <w:br/>
            </w:r>
            <w:r>
              <w:rPr>
                <w:rFonts w:ascii="Times New Roman"/>
                <w:b w:val="false"/>
                <w:i w:val="false"/>
                <w:color w:val="000000"/>
                <w:sz w:val="20"/>
              </w:rPr>
              <w:t>
тыс. чел.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r>
    </w:tbl>
    <w:p>
      <w:pPr>
        <w:spacing w:after="0"/>
        <w:ind w:left="0"/>
        <w:jc w:val="both"/>
      </w:pPr>
      <w:r>
        <w:rPr>
          <w:rFonts w:ascii="Times New Roman"/>
          <w:b w:val="false"/>
          <w:i w:val="false"/>
          <w:color w:val="000000"/>
          <w:sz w:val="28"/>
        </w:rPr>
        <w:t>      * - прогнозные данные</w:t>
      </w:r>
    </w:p>
    <w:p>
      <w:pPr>
        <w:spacing w:after="0"/>
        <w:ind w:left="0"/>
        <w:jc w:val="both"/>
      </w:pPr>
      <w:r>
        <w:rPr>
          <w:rFonts w:ascii="Times New Roman"/>
          <w:b w:val="false"/>
          <w:i w:val="false"/>
          <w:color w:val="000000"/>
          <w:sz w:val="28"/>
        </w:rPr>
        <w:t>      Достижение устойчивого развития города - длительный процесс. Необходимо осуществлять постоянный контроль за ходом реализации мероприятий, направленных на достижение стратегических целей устойчивого развития, проводить оценку эффективности используемых средств, определять степень достижения поставленных целей. Это предполагает наличие соответствующих показателей - индикаторов устойчивого развития.</w:t>
      </w:r>
      <w:r>
        <w:br/>
      </w:r>
      <w:r>
        <w:rPr>
          <w:rFonts w:ascii="Times New Roman"/>
          <w:b w:val="false"/>
          <w:i w:val="false"/>
          <w:color w:val="000000"/>
          <w:sz w:val="28"/>
        </w:rPr>
        <w:t>
      Международными институтами и специалистами в сфере устойчивого развития продолжается работа по определению индикаторов устойчивого развития как для стран в целом, так и отдельных населенных пунктов по трем группам: экономические, социальные и экологические.</w:t>
      </w:r>
      <w:r>
        <w:br/>
      </w:r>
      <w:r>
        <w:rPr>
          <w:rFonts w:ascii="Times New Roman"/>
          <w:b w:val="false"/>
          <w:i w:val="false"/>
          <w:color w:val="000000"/>
          <w:sz w:val="28"/>
        </w:rPr>
        <w:t>
      В этой связи для города Астаны представляется возможным использование индикаторов устойчивого развития: продолжительность жизни, валовой региональный продукт, индекс загрязнения атмосферы, сокращение объемов отходов и др. Наличие индикаторов устойчивого развития позволит совместно с разработкой и внедрением системы стратегического управления проводить оценку деятельности государственных органов, направленной на достижение соответствующих стратегических задач.</w:t>
      </w:r>
    </w:p>
    <w:p>
      <w:pPr>
        <w:spacing w:after="0"/>
        <w:ind w:left="0"/>
        <w:jc w:val="both"/>
      </w:pPr>
      <w:r>
        <w:rPr>
          <w:rFonts w:ascii="Times New Roman"/>
          <w:b w:val="false"/>
          <w:i w:val="false"/>
          <w:color w:val="000000"/>
          <w:sz w:val="28"/>
        </w:rPr>
        <w:t>Таблица 2</w:t>
      </w:r>
    </w:p>
    <w:p>
      <w:pPr>
        <w:spacing w:after="0"/>
        <w:ind w:left="0"/>
        <w:jc w:val="left"/>
      </w:pPr>
      <w:r>
        <w:rPr>
          <w:rFonts w:ascii="Times New Roman"/>
          <w:b/>
          <w:i w:val="false"/>
          <w:color w:val="000000"/>
        </w:rPr>
        <w:t xml:space="preserve"> Индикаторы устойчивого развития города Астаны и оценка</w:t>
      </w:r>
      <w:r>
        <w:br/>
      </w:r>
      <w:r>
        <w:rPr>
          <w:rFonts w:ascii="Times New Roman"/>
          <w:b/>
          <w:i w:val="false"/>
          <w:color w:val="000000"/>
        </w:rPr>
        <w:t>
их целевых значений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350"/>
        <w:gridCol w:w="1000"/>
        <w:gridCol w:w="907"/>
        <w:gridCol w:w="842"/>
        <w:gridCol w:w="842"/>
        <w:gridCol w:w="962"/>
        <w:gridCol w:w="962"/>
        <w:gridCol w:w="878"/>
        <w:gridCol w:w="805"/>
        <w:gridCol w:w="805"/>
        <w:gridCol w:w="805"/>
        <w:gridCol w:w="805"/>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w:t>
            </w:r>
            <w:r>
              <w:rPr>
                <w:rFonts w:ascii="Times New Roman"/>
                <w:b w:val="false"/>
                <w:i w:val="false"/>
                <w:color w:val="000000"/>
                <w:sz w:val="20"/>
              </w:rPr>
              <w:t>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r>
              <w:br/>
            </w:r>
            <w:r>
              <w:rPr>
                <w:rFonts w:ascii="Times New Roman"/>
                <w:b w:val="false"/>
                <w:i w:val="false"/>
                <w:color w:val="000000"/>
                <w:sz w:val="20"/>
              </w:rPr>
              <w:t>
</w:t>
            </w:r>
            <w:r>
              <w:rPr>
                <w:rFonts w:ascii="Times New Roman"/>
                <w:b w:val="false"/>
                <w:i w:val="false"/>
                <w:color w:val="000000"/>
                <w:sz w:val="20"/>
              </w:rPr>
              <w:t>год</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этап</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Экологические</w:t>
            </w:r>
            <w:r>
              <w:br/>
            </w:r>
            <w:r>
              <w:rPr>
                <w:rFonts w:ascii="Times New Roman"/>
                <w:b w:val="false"/>
                <w:i w:val="false"/>
                <w:color w:val="000000"/>
                <w:sz w:val="20"/>
              </w:rPr>
              <w:t>
</w:t>
            </w:r>
            <w:r>
              <w:rPr>
                <w:rFonts w:ascii="Times New Roman"/>
                <w:b/>
                <w:i w:val="false"/>
                <w:color w:val="000000"/>
                <w:sz w:val="20"/>
              </w:rPr>
              <w:t>индикаторы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Выбросы</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 в</w:t>
            </w:r>
            <w:r>
              <w:br/>
            </w:r>
            <w:r>
              <w:rPr>
                <w:rFonts w:ascii="Times New Roman"/>
                <w:b w:val="false"/>
                <w:i w:val="false"/>
                <w:color w:val="000000"/>
                <w:sz w:val="20"/>
              </w:rPr>
              <w:t>
</w:t>
            </w:r>
            <w:r>
              <w:rPr>
                <w:rFonts w:ascii="Times New Roman"/>
                <w:b w:val="false"/>
                <w:i w:val="false"/>
                <w:color w:val="000000"/>
                <w:sz w:val="20"/>
              </w:rPr>
              <w:t>атмосферу, в</w:t>
            </w:r>
            <w:r>
              <w:br/>
            </w:r>
            <w:r>
              <w:rPr>
                <w:rFonts w:ascii="Times New Roman"/>
                <w:b w:val="false"/>
                <w:i w:val="false"/>
                <w:color w:val="000000"/>
                <w:sz w:val="20"/>
              </w:rPr>
              <w:t>
</w:t>
            </w:r>
            <w:r>
              <w:rPr>
                <w:rFonts w:ascii="Times New Roman"/>
                <w:b w:val="false"/>
                <w:i w:val="false"/>
                <w:color w:val="000000"/>
                <w:sz w:val="20"/>
              </w:rPr>
              <w:t>том числе: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стационар-</w:t>
            </w:r>
            <w:r>
              <w:br/>
            </w:r>
            <w:r>
              <w:rPr>
                <w:rFonts w:ascii="Times New Roman"/>
                <w:b w:val="false"/>
                <w:i w:val="false"/>
                <w:color w:val="000000"/>
                <w:sz w:val="20"/>
              </w:rPr>
              <w:t>
</w:t>
            </w:r>
            <w:r>
              <w:rPr>
                <w:rFonts w:ascii="Times New Roman"/>
                <w:b w:val="false"/>
                <w:i w:val="false"/>
                <w:color w:val="000000"/>
                <w:sz w:val="20"/>
              </w:rPr>
              <w:t>ных источников</w:t>
            </w:r>
            <w:r>
              <w:br/>
            </w:r>
            <w:r>
              <w:rPr>
                <w:rFonts w:ascii="Times New Roman"/>
                <w:b w:val="false"/>
                <w:i w:val="false"/>
                <w:color w:val="000000"/>
                <w:sz w:val="20"/>
              </w:rPr>
              <w:t>
</w:t>
            </w:r>
            <w:r>
              <w:rPr>
                <w:rFonts w:ascii="Times New Roman"/>
                <w:b w:val="false"/>
                <w:i w:val="false"/>
                <w:color w:val="000000"/>
                <w:sz w:val="20"/>
              </w:rPr>
              <w:t>загрязнения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передвижных</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(автотранспорт)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атмосферы</w:t>
            </w:r>
            <w:r>
              <w:br/>
            </w:r>
            <w:r>
              <w:rPr>
                <w:rFonts w:ascii="Times New Roman"/>
                <w:b w:val="false"/>
                <w:i w:val="false"/>
                <w:color w:val="000000"/>
                <w:sz w:val="20"/>
              </w:rPr>
              <w:t>
</w:t>
            </w:r>
            <w:r>
              <w:rPr>
                <w:rFonts w:ascii="Times New Roman"/>
                <w:b w:val="false"/>
                <w:i w:val="false"/>
                <w:color w:val="000000"/>
                <w:sz w:val="20"/>
              </w:rPr>
              <w:t>(ИЗА</w:t>
            </w:r>
            <w:r>
              <w:rPr>
                <w:rFonts w:ascii="Times New Roman"/>
                <w:b w:val="false"/>
                <w:i w:val="false"/>
                <w:color w:val="000000"/>
                <w:vertAlign w:val="subscript"/>
              </w:rPr>
              <w:t>5</w:t>
            </w: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разрешенных</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выбросов</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разрешенных</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сбросов</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10,97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зеленых</w:t>
            </w:r>
            <w:r>
              <w:br/>
            </w:r>
            <w:r>
              <w:rPr>
                <w:rFonts w:ascii="Times New Roman"/>
                <w:b w:val="false"/>
                <w:i w:val="false"/>
                <w:color w:val="000000"/>
                <w:sz w:val="20"/>
              </w:rPr>
              <w:t>
</w:t>
            </w:r>
            <w:r>
              <w:rPr>
                <w:rFonts w:ascii="Times New Roman"/>
                <w:b w:val="false"/>
                <w:i w:val="false"/>
                <w:color w:val="000000"/>
                <w:sz w:val="20"/>
              </w:rPr>
              <w:t>насаждений</w:t>
            </w:r>
            <w:r>
              <w:br/>
            </w:r>
            <w:r>
              <w:rPr>
                <w:rFonts w:ascii="Times New Roman"/>
                <w:b w:val="false"/>
                <w:i w:val="false"/>
                <w:color w:val="000000"/>
                <w:sz w:val="20"/>
              </w:rPr>
              <w:t>
</w:t>
            </w:r>
            <w:r>
              <w:rPr>
                <w:rFonts w:ascii="Times New Roman"/>
                <w:b w:val="false"/>
                <w:i w:val="false"/>
                <w:color w:val="000000"/>
                <w:sz w:val="20"/>
              </w:rPr>
              <w:t>внутри города</w:t>
            </w:r>
            <w:r>
              <w:br/>
            </w:r>
            <w:r>
              <w:rPr>
                <w:rFonts w:ascii="Times New Roman"/>
                <w:b w:val="false"/>
                <w:i w:val="false"/>
                <w:color w:val="000000"/>
                <w:sz w:val="20"/>
              </w:rPr>
              <w:t>
</w:t>
            </w:r>
            <w:r>
              <w:rPr>
                <w:rFonts w:ascii="Times New Roman"/>
                <w:b w:val="false"/>
                <w:i w:val="false"/>
                <w:color w:val="000000"/>
                <w:sz w:val="20"/>
              </w:rPr>
              <w:t>в расчете на</w:t>
            </w:r>
            <w:r>
              <w:br/>
            </w:r>
            <w:r>
              <w:rPr>
                <w:rFonts w:ascii="Times New Roman"/>
                <w:b w:val="false"/>
                <w:i w:val="false"/>
                <w:color w:val="000000"/>
                <w:sz w:val="20"/>
              </w:rPr>
              <w:t>
</w:t>
            </w:r>
            <w:r>
              <w:rPr>
                <w:rFonts w:ascii="Times New Roman"/>
                <w:b w:val="false"/>
                <w:i w:val="false"/>
                <w:color w:val="000000"/>
                <w:sz w:val="20"/>
              </w:rPr>
              <w:t>одного жителя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r>
              <w:br/>
            </w:r>
            <w:r>
              <w:rPr>
                <w:rFonts w:ascii="Times New Roman"/>
                <w:b w:val="false"/>
                <w:i w:val="false"/>
                <w:color w:val="000000"/>
                <w:sz w:val="20"/>
              </w:rPr>
              <w:t>
</w:t>
            </w:r>
            <w:r>
              <w:rPr>
                <w:rFonts w:ascii="Times New Roman"/>
                <w:b w:val="false"/>
                <w:i w:val="false"/>
                <w:color w:val="000000"/>
                <w:sz w:val="20"/>
              </w:rPr>
              <w:t>м/чел.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отходов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индикаторы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обрабатывающую</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малого и</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бизнеса в ВРП</w:t>
            </w:r>
            <w:r>
              <w:br/>
            </w:r>
            <w:r>
              <w:rPr>
                <w:rFonts w:ascii="Times New Roman"/>
                <w:b w:val="false"/>
                <w:i w:val="false"/>
                <w:color w:val="000000"/>
                <w:sz w:val="20"/>
              </w:rPr>
              <w:t>
</w:t>
            </w:r>
            <w:r>
              <w:rPr>
                <w:rFonts w:ascii="Times New Roman"/>
                <w:b w:val="false"/>
                <w:i w:val="false"/>
                <w:color w:val="000000"/>
                <w:sz w:val="20"/>
              </w:rPr>
              <w:t>города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активных</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малого и</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предпринимате-</w:t>
            </w:r>
            <w:r>
              <w:br/>
            </w:r>
            <w:r>
              <w:rPr>
                <w:rFonts w:ascii="Times New Roman"/>
                <w:b w:val="false"/>
                <w:i w:val="false"/>
                <w:color w:val="000000"/>
                <w:sz w:val="20"/>
              </w:rPr>
              <w:t>
</w:t>
            </w:r>
            <w:r>
              <w:rPr>
                <w:rFonts w:ascii="Times New Roman"/>
                <w:b w:val="false"/>
                <w:i w:val="false"/>
                <w:color w:val="000000"/>
                <w:sz w:val="20"/>
              </w:rPr>
              <w:t>льства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промышленной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w:t>
            </w:r>
            <w:r>
              <w:br/>
            </w:r>
            <w:r>
              <w:rPr>
                <w:rFonts w:ascii="Times New Roman"/>
                <w:b w:val="false"/>
                <w:i w:val="false"/>
                <w:color w:val="000000"/>
                <w:sz w:val="20"/>
              </w:rPr>
              <w:t>
</w:t>
            </w:r>
            <w:r>
              <w:rPr>
                <w:rFonts w:ascii="Times New Roman"/>
                <w:b w:val="false"/>
                <w:i w:val="false"/>
                <w:color w:val="000000"/>
                <w:sz w:val="20"/>
              </w:rPr>
              <w:t>ционно-активных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Социальные</w:t>
            </w:r>
            <w:r>
              <w:br/>
            </w:r>
            <w:r>
              <w:rPr>
                <w:rFonts w:ascii="Times New Roman"/>
                <w:b w:val="false"/>
                <w:i w:val="false"/>
                <w:color w:val="000000"/>
                <w:sz w:val="20"/>
              </w:rPr>
              <w:t>
</w:t>
            </w:r>
            <w:r>
              <w:rPr>
                <w:rFonts w:ascii="Times New Roman"/>
                <w:b/>
                <w:i w:val="false"/>
                <w:color w:val="000000"/>
                <w:sz w:val="20"/>
              </w:rPr>
              <w:t>индикаторы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населения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чело-</w:t>
            </w:r>
            <w:r>
              <w:br/>
            </w:r>
            <w:r>
              <w:rPr>
                <w:rFonts w:ascii="Times New Roman"/>
                <w:b w:val="false"/>
                <w:i w:val="false"/>
                <w:color w:val="000000"/>
                <w:sz w:val="20"/>
              </w:rPr>
              <w:t>
</w:t>
            </w:r>
            <w:r>
              <w:rPr>
                <w:rFonts w:ascii="Times New Roman"/>
                <w:b w:val="false"/>
                <w:i w:val="false"/>
                <w:color w:val="000000"/>
                <w:sz w:val="20"/>
              </w:rPr>
              <w:t>век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детей</w:t>
            </w:r>
            <w:r>
              <w:br/>
            </w:r>
            <w:r>
              <w:rPr>
                <w:rFonts w:ascii="Times New Roman"/>
                <w:b w:val="false"/>
                <w:i w:val="false"/>
                <w:color w:val="000000"/>
                <w:sz w:val="20"/>
              </w:rPr>
              <w:t>
</w:t>
            </w:r>
            <w:r>
              <w:rPr>
                <w:rFonts w:ascii="Times New Roman"/>
                <w:b w:val="false"/>
                <w:i w:val="false"/>
                <w:color w:val="000000"/>
                <w:sz w:val="20"/>
              </w:rPr>
              <w:t>дошкольным</w:t>
            </w:r>
            <w:r>
              <w:br/>
            </w:r>
            <w:r>
              <w:rPr>
                <w:rFonts w:ascii="Times New Roman"/>
                <w:b w:val="false"/>
                <w:i w:val="false"/>
                <w:color w:val="000000"/>
                <w:sz w:val="20"/>
              </w:rPr>
              <w:t>
</w:t>
            </w:r>
            <w:r>
              <w:rPr>
                <w:rFonts w:ascii="Times New Roman"/>
                <w:b w:val="false"/>
                <w:i w:val="false"/>
                <w:color w:val="000000"/>
                <w:sz w:val="20"/>
              </w:rPr>
              <w:t>воспитанием и</w:t>
            </w:r>
            <w:r>
              <w:br/>
            </w:r>
            <w:r>
              <w:rPr>
                <w:rFonts w:ascii="Times New Roman"/>
                <w:b w:val="false"/>
                <w:i w:val="false"/>
                <w:color w:val="000000"/>
                <w:sz w:val="20"/>
              </w:rPr>
              <w:t>
</w:t>
            </w:r>
            <w:r>
              <w:rPr>
                <w:rFonts w:ascii="Times New Roman"/>
                <w:b w:val="false"/>
                <w:i w:val="false"/>
                <w:color w:val="000000"/>
                <w:sz w:val="20"/>
              </w:rPr>
              <w:t>обучением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внедрив-</w:t>
            </w:r>
            <w:r>
              <w:br/>
            </w:r>
            <w:r>
              <w:rPr>
                <w:rFonts w:ascii="Times New Roman"/>
                <w:b w:val="false"/>
                <w:i w:val="false"/>
                <w:color w:val="000000"/>
                <w:sz w:val="20"/>
              </w:rPr>
              <w:t>
</w:t>
            </w:r>
            <w:r>
              <w:rPr>
                <w:rFonts w:ascii="Times New Roman"/>
                <w:b w:val="false"/>
                <w:i w:val="false"/>
                <w:color w:val="000000"/>
                <w:sz w:val="20"/>
              </w:rPr>
              <w:t>ших систему</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обучения, от их</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количества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охвата</w:t>
            </w:r>
            <w:r>
              <w:br/>
            </w:r>
            <w:r>
              <w:rPr>
                <w:rFonts w:ascii="Times New Roman"/>
                <w:b w:val="false"/>
                <w:i w:val="false"/>
                <w:color w:val="000000"/>
                <w:sz w:val="20"/>
              </w:rPr>
              <w:t>
</w:t>
            </w:r>
            <w:r>
              <w:rPr>
                <w:rFonts w:ascii="Times New Roman"/>
                <w:b w:val="false"/>
                <w:i w:val="false"/>
                <w:color w:val="000000"/>
                <w:sz w:val="20"/>
              </w:rPr>
              <w:t>молодежи</w:t>
            </w:r>
            <w:r>
              <w:br/>
            </w:r>
            <w:r>
              <w:rPr>
                <w:rFonts w:ascii="Times New Roman"/>
                <w:b w:val="false"/>
                <w:i w:val="false"/>
                <w:color w:val="000000"/>
                <w:sz w:val="20"/>
              </w:rPr>
              <w:t>
</w:t>
            </w:r>
            <w:r>
              <w:rPr>
                <w:rFonts w:ascii="Times New Roman"/>
                <w:b w:val="false"/>
                <w:i w:val="false"/>
                <w:color w:val="000000"/>
                <w:sz w:val="20"/>
              </w:rPr>
              <w:t>типичного</w:t>
            </w:r>
            <w:r>
              <w:br/>
            </w:r>
            <w:r>
              <w:rPr>
                <w:rFonts w:ascii="Times New Roman"/>
                <w:b w:val="false"/>
                <w:i w:val="false"/>
                <w:color w:val="000000"/>
                <w:sz w:val="20"/>
              </w:rPr>
              <w:t>
</w:t>
            </w:r>
            <w:r>
              <w:rPr>
                <w:rFonts w:ascii="Times New Roman"/>
                <w:b w:val="false"/>
                <w:i w:val="false"/>
                <w:color w:val="000000"/>
                <w:sz w:val="20"/>
              </w:rPr>
              <w:t>возраста (14-24</w:t>
            </w:r>
            <w:r>
              <w:br/>
            </w:r>
            <w:r>
              <w:rPr>
                <w:rFonts w:ascii="Times New Roman"/>
                <w:b w:val="false"/>
                <w:i w:val="false"/>
                <w:color w:val="000000"/>
                <w:sz w:val="20"/>
              </w:rPr>
              <w:t>
</w:t>
            </w:r>
            <w:r>
              <w:rPr>
                <w:rFonts w:ascii="Times New Roman"/>
                <w:b w:val="false"/>
                <w:i w:val="false"/>
                <w:color w:val="000000"/>
                <w:sz w:val="20"/>
              </w:rPr>
              <w:t>лет)</w:t>
            </w:r>
            <w:r>
              <w:br/>
            </w:r>
            <w:r>
              <w:rPr>
                <w:rFonts w:ascii="Times New Roman"/>
                <w:b w:val="false"/>
                <w:i w:val="false"/>
                <w:color w:val="000000"/>
                <w:sz w:val="20"/>
              </w:rPr>
              <w:t>
</w:t>
            </w:r>
            <w:r>
              <w:rPr>
                <w:rFonts w:ascii="Times New Roman"/>
                <w:b w:val="false"/>
                <w:i w:val="false"/>
                <w:color w:val="000000"/>
                <w:sz w:val="20"/>
              </w:rPr>
              <w:t>техническим и</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ным образова-</w:t>
            </w:r>
            <w:r>
              <w:br/>
            </w:r>
            <w:r>
              <w:rPr>
                <w:rFonts w:ascii="Times New Roman"/>
                <w:b w:val="false"/>
                <w:i w:val="false"/>
                <w:color w:val="000000"/>
                <w:sz w:val="20"/>
              </w:rPr>
              <w:t>
</w:t>
            </w:r>
            <w:r>
              <w:rPr>
                <w:rFonts w:ascii="Times New Roman"/>
                <w:b w:val="false"/>
                <w:i w:val="false"/>
                <w:color w:val="000000"/>
                <w:sz w:val="20"/>
              </w:rPr>
              <w:t>нием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продолжитель-</w:t>
            </w:r>
            <w:r>
              <w:br/>
            </w:r>
            <w:r>
              <w:rPr>
                <w:rFonts w:ascii="Times New Roman"/>
                <w:b w:val="false"/>
                <w:i w:val="false"/>
                <w:color w:val="000000"/>
                <w:sz w:val="20"/>
              </w:rPr>
              <w:t>
</w:t>
            </w:r>
            <w:r>
              <w:rPr>
                <w:rFonts w:ascii="Times New Roman"/>
                <w:b w:val="false"/>
                <w:i w:val="false"/>
                <w:color w:val="000000"/>
                <w:sz w:val="20"/>
              </w:rPr>
              <w:t>ность жизни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смертность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1000 насе-</w:t>
            </w:r>
            <w:r>
              <w:br/>
            </w:r>
            <w:r>
              <w:rPr>
                <w:rFonts w:ascii="Times New Roman"/>
                <w:b w:val="false"/>
                <w:i w:val="false"/>
                <w:color w:val="000000"/>
                <w:sz w:val="20"/>
              </w:rPr>
              <w:t>
</w:t>
            </w:r>
            <w:r>
              <w:rPr>
                <w:rFonts w:ascii="Times New Roman"/>
                <w:b w:val="false"/>
                <w:i w:val="false"/>
                <w:color w:val="000000"/>
                <w:sz w:val="20"/>
              </w:rPr>
              <w:t>ления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Материнская</w:t>
            </w:r>
            <w:r>
              <w:br/>
            </w:r>
            <w:r>
              <w:rPr>
                <w:rFonts w:ascii="Times New Roman"/>
                <w:b w:val="false"/>
                <w:i w:val="false"/>
                <w:color w:val="000000"/>
                <w:sz w:val="20"/>
              </w:rPr>
              <w:t>
</w:t>
            </w:r>
            <w:r>
              <w:rPr>
                <w:rFonts w:ascii="Times New Roman"/>
                <w:b w:val="false"/>
                <w:i w:val="false"/>
                <w:color w:val="000000"/>
                <w:sz w:val="20"/>
              </w:rPr>
              <w:t>смертность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Младенческая</w:t>
            </w:r>
            <w:r>
              <w:br/>
            </w:r>
            <w:r>
              <w:rPr>
                <w:rFonts w:ascii="Times New Roman"/>
                <w:b w:val="false"/>
                <w:i w:val="false"/>
                <w:color w:val="000000"/>
                <w:sz w:val="20"/>
              </w:rPr>
              <w:t>
</w:t>
            </w:r>
            <w:r>
              <w:rPr>
                <w:rFonts w:ascii="Times New Roman"/>
                <w:b w:val="false"/>
                <w:i w:val="false"/>
                <w:color w:val="000000"/>
                <w:sz w:val="20"/>
              </w:rPr>
              <w:t>смертность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Заболеваемость</w:t>
            </w:r>
            <w:r>
              <w:br/>
            </w:r>
            <w:r>
              <w:rPr>
                <w:rFonts w:ascii="Times New Roman"/>
                <w:b w:val="false"/>
                <w:i w:val="false"/>
                <w:color w:val="000000"/>
                <w:sz w:val="20"/>
              </w:rPr>
              <w:t>
</w:t>
            </w:r>
            <w:r>
              <w:rPr>
                <w:rFonts w:ascii="Times New Roman"/>
                <w:b w:val="false"/>
                <w:i w:val="false"/>
                <w:color w:val="000000"/>
                <w:sz w:val="20"/>
              </w:rPr>
              <w:t>туберкулезом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насе-</w:t>
            </w:r>
            <w:r>
              <w:br/>
            </w:r>
            <w:r>
              <w:rPr>
                <w:rFonts w:ascii="Times New Roman"/>
                <w:b w:val="false"/>
                <w:i w:val="false"/>
                <w:color w:val="000000"/>
                <w:sz w:val="20"/>
              </w:rPr>
              <w:t>
</w:t>
            </w:r>
            <w:r>
              <w:rPr>
                <w:rFonts w:ascii="Times New Roman"/>
                <w:b w:val="false"/>
                <w:i w:val="false"/>
                <w:color w:val="000000"/>
                <w:sz w:val="20"/>
              </w:rPr>
              <w:t>ления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w:t>
            </w:r>
            <w:r>
              <w:br/>
            </w:r>
            <w:r>
              <w:rPr>
                <w:rFonts w:ascii="Times New Roman"/>
                <w:b w:val="false"/>
                <w:i w:val="false"/>
                <w:color w:val="000000"/>
                <w:sz w:val="20"/>
              </w:rPr>
              <w:t>
</w:t>
            </w:r>
            <w:r>
              <w:rPr>
                <w:rFonts w:ascii="Times New Roman"/>
                <w:b w:val="false"/>
                <w:i w:val="false"/>
                <w:color w:val="000000"/>
                <w:sz w:val="20"/>
              </w:rPr>
              <w:t>систематически</w:t>
            </w:r>
            <w:r>
              <w:br/>
            </w:r>
            <w:r>
              <w:rPr>
                <w:rFonts w:ascii="Times New Roman"/>
                <w:b w:val="false"/>
                <w:i w:val="false"/>
                <w:color w:val="000000"/>
                <w:sz w:val="20"/>
              </w:rPr>
              <w:t>
</w:t>
            </w:r>
            <w:r>
              <w:rPr>
                <w:rFonts w:ascii="Times New Roman"/>
                <w:b w:val="false"/>
                <w:i w:val="false"/>
                <w:color w:val="000000"/>
                <w:sz w:val="20"/>
              </w:rPr>
              <w:t>занимающееся</w:t>
            </w:r>
            <w:r>
              <w:br/>
            </w:r>
            <w:r>
              <w:rPr>
                <w:rFonts w:ascii="Times New Roman"/>
                <w:b w:val="false"/>
                <w:i w:val="false"/>
                <w:color w:val="000000"/>
                <w:sz w:val="20"/>
              </w:rPr>
              <w:t>
</w:t>
            </w:r>
            <w:r>
              <w:rPr>
                <w:rFonts w:ascii="Times New Roman"/>
                <w:b w:val="false"/>
                <w:i w:val="false"/>
                <w:color w:val="000000"/>
                <w:sz w:val="20"/>
              </w:rPr>
              <w:t>физической</w:t>
            </w:r>
            <w:r>
              <w:br/>
            </w:r>
            <w:r>
              <w:rPr>
                <w:rFonts w:ascii="Times New Roman"/>
                <w:b w:val="false"/>
                <w:i w:val="false"/>
                <w:color w:val="000000"/>
                <w:sz w:val="20"/>
              </w:rPr>
              <w:t>
</w:t>
            </w:r>
            <w:r>
              <w:rPr>
                <w:rFonts w:ascii="Times New Roman"/>
                <w:b w:val="false"/>
                <w:i w:val="false"/>
                <w:color w:val="000000"/>
                <w:sz w:val="20"/>
              </w:rPr>
              <w:t>культурой и</w:t>
            </w:r>
            <w:r>
              <w:br/>
            </w:r>
            <w:r>
              <w:rPr>
                <w:rFonts w:ascii="Times New Roman"/>
                <w:b w:val="false"/>
                <w:i w:val="false"/>
                <w:color w:val="000000"/>
                <w:sz w:val="20"/>
              </w:rPr>
              <w:t>
</w:t>
            </w:r>
            <w:r>
              <w:rPr>
                <w:rFonts w:ascii="Times New Roman"/>
                <w:b w:val="false"/>
                <w:i w:val="false"/>
                <w:color w:val="000000"/>
                <w:sz w:val="20"/>
              </w:rPr>
              <w:t>спортом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безработицы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w:t>
            </w:r>
            <w:r>
              <w:br/>
            </w:r>
            <w:r>
              <w:rPr>
                <w:rFonts w:ascii="Times New Roman"/>
                <w:b w:val="false"/>
                <w:i w:val="false"/>
                <w:color w:val="000000"/>
                <w:sz w:val="20"/>
              </w:rPr>
              <w:t>
</w:t>
            </w:r>
            <w:r>
              <w:rPr>
                <w:rFonts w:ascii="Times New Roman"/>
                <w:b w:val="false"/>
                <w:i w:val="false"/>
                <w:color w:val="000000"/>
                <w:sz w:val="20"/>
              </w:rPr>
              <w:t>с доходами ниже</w:t>
            </w:r>
            <w:r>
              <w:br/>
            </w:r>
            <w:r>
              <w:rPr>
                <w:rFonts w:ascii="Times New Roman"/>
                <w:b w:val="false"/>
                <w:i w:val="false"/>
                <w:color w:val="000000"/>
                <w:sz w:val="20"/>
              </w:rPr>
              <w:t>
</w:t>
            </w:r>
            <w:r>
              <w:rPr>
                <w:rFonts w:ascii="Times New Roman"/>
                <w:b w:val="false"/>
                <w:i w:val="false"/>
                <w:color w:val="000000"/>
                <w:sz w:val="20"/>
              </w:rPr>
              <w:t>прожиточного</w:t>
            </w:r>
            <w:r>
              <w:br/>
            </w:r>
            <w:r>
              <w:rPr>
                <w:rFonts w:ascii="Times New Roman"/>
                <w:b w:val="false"/>
                <w:i w:val="false"/>
                <w:color w:val="000000"/>
                <w:sz w:val="20"/>
              </w:rPr>
              <w:t>
</w:t>
            </w:r>
            <w:r>
              <w:rPr>
                <w:rFonts w:ascii="Times New Roman"/>
                <w:b w:val="false"/>
                <w:i w:val="false"/>
                <w:color w:val="000000"/>
                <w:sz w:val="20"/>
              </w:rPr>
              <w:t>минимума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коллективно-</w:t>
            </w:r>
            <w:r>
              <w:br/>
            </w:r>
            <w:r>
              <w:rPr>
                <w:rFonts w:ascii="Times New Roman"/>
                <w:b w:val="false"/>
                <w:i w:val="false"/>
                <w:color w:val="000000"/>
                <w:sz w:val="20"/>
              </w:rPr>
              <w:t>
</w:t>
            </w:r>
            <w:r>
              <w:rPr>
                <w:rFonts w:ascii="Times New Roman"/>
                <w:b w:val="false"/>
                <w:i w:val="false"/>
                <w:color w:val="000000"/>
                <w:sz w:val="20"/>
              </w:rPr>
              <w:t>трудовых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крупных и</w:t>
            </w:r>
            <w:r>
              <w:br/>
            </w:r>
            <w:r>
              <w:rPr>
                <w:rFonts w:ascii="Times New Roman"/>
                <w:b w:val="false"/>
                <w:i w:val="false"/>
                <w:color w:val="000000"/>
                <w:sz w:val="20"/>
              </w:rPr>
              <w:t>
</w:t>
            </w:r>
            <w:r>
              <w:rPr>
                <w:rFonts w:ascii="Times New Roman"/>
                <w:b w:val="false"/>
                <w:i w:val="false"/>
                <w:color w:val="000000"/>
                <w:sz w:val="20"/>
              </w:rPr>
              <w:t>средних</w:t>
            </w:r>
            <w:r>
              <w:br/>
            </w:r>
            <w:r>
              <w:rPr>
                <w:rFonts w:ascii="Times New Roman"/>
                <w:b w:val="false"/>
                <w:i w:val="false"/>
                <w:color w:val="000000"/>
                <w:sz w:val="20"/>
              </w:rPr>
              <w:t>
</w:t>
            </w:r>
            <w:r>
              <w:rPr>
                <w:rFonts w:ascii="Times New Roman"/>
                <w:b w:val="false"/>
                <w:i w:val="false"/>
                <w:color w:val="000000"/>
                <w:sz w:val="20"/>
              </w:rPr>
              <w:t>предприятий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НПО,</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социально-зна-</w:t>
            </w:r>
            <w:r>
              <w:br/>
            </w:r>
            <w:r>
              <w:rPr>
                <w:rFonts w:ascii="Times New Roman"/>
                <w:b w:val="false"/>
                <w:i w:val="false"/>
                <w:color w:val="000000"/>
                <w:sz w:val="20"/>
              </w:rPr>
              <w:t>
</w:t>
            </w:r>
            <w:r>
              <w:rPr>
                <w:rFonts w:ascii="Times New Roman"/>
                <w:b w:val="false"/>
                <w:i w:val="false"/>
                <w:color w:val="000000"/>
                <w:sz w:val="20"/>
              </w:rPr>
              <w:t>чимых проектов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единиц</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компьютерной</w:t>
            </w:r>
            <w:r>
              <w:br/>
            </w:r>
            <w:r>
              <w:rPr>
                <w:rFonts w:ascii="Times New Roman"/>
                <w:b w:val="false"/>
                <w:i w:val="false"/>
                <w:color w:val="000000"/>
                <w:sz w:val="20"/>
              </w:rPr>
              <w:t>
</w:t>
            </w:r>
            <w:r>
              <w:rPr>
                <w:rFonts w:ascii="Times New Roman"/>
                <w:b w:val="false"/>
                <w:i w:val="false"/>
                <w:color w:val="000000"/>
                <w:sz w:val="20"/>
              </w:rPr>
              <w:t>грамотности</w:t>
            </w:r>
            <w:r>
              <w:br/>
            </w:r>
            <w:r>
              <w:rPr>
                <w:rFonts w:ascii="Times New Roman"/>
                <w:b w:val="false"/>
                <w:i w:val="false"/>
                <w:color w:val="000000"/>
                <w:sz w:val="20"/>
              </w:rPr>
              <w:t>
</w:t>
            </w:r>
            <w:r>
              <w:rPr>
                <w:rFonts w:ascii="Times New Roman"/>
                <w:b w:val="false"/>
                <w:i w:val="false"/>
                <w:color w:val="000000"/>
                <w:sz w:val="20"/>
              </w:rPr>
              <w:t>населения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Индикаторы</w:t>
            </w:r>
            <w:r>
              <w:br/>
            </w:r>
            <w:r>
              <w:rPr>
                <w:rFonts w:ascii="Times New Roman"/>
                <w:b w:val="false"/>
                <w:i w:val="false"/>
                <w:color w:val="000000"/>
                <w:sz w:val="20"/>
              </w:rPr>
              <w:t>
</w:t>
            </w:r>
            <w:r>
              <w:rPr>
                <w:rFonts w:ascii="Times New Roman"/>
                <w:b/>
                <w:i w:val="false"/>
                <w:color w:val="000000"/>
                <w:sz w:val="20"/>
              </w:rPr>
              <w:t>совершен-</w:t>
            </w:r>
            <w:r>
              <w:br/>
            </w:r>
            <w:r>
              <w:rPr>
                <w:rFonts w:ascii="Times New Roman"/>
                <w:b w:val="false"/>
                <w:i w:val="false"/>
                <w:color w:val="000000"/>
                <w:sz w:val="20"/>
              </w:rPr>
              <w:t>
</w:t>
            </w:r>
            <w:r>
              <w:rPr>
                <w:rFonts w:ascii="Times New Roman"/>
                <w:b/>
                <w:i w:val="false"/>
                <w:color w:val="000000"/>
                <w:sz w:val="20"/>
              </w:rPr>
              <w:t>ствования</w:t>
            </w:r>
            <w:r>
              <w:br/>
            </w:r>
            <w:r>
              <w:rPr>
                <w:rFonts w:ascii="Times New Roman"/>
                <w:b w:val="false"/>
                <w:i w:val="false"/>
                <w:color w:val="000000"/>
                <w:sz w:val="20"/>
              </w:rPr>
              <w:t>
</w:t>
            </w:r>
            <w:r>
              <w:rPr>
                <w:rFonts w:ascii="Times New Roman"/>
                <w:b/>
                <w:i w:val="false"/>
                <w:color w:val="000000"/>
                <w:sz w:val="20"/>
              </w:rPr>
              <w:t>системы</w:t>
            </w:r>
            <w:r>
              <w:br/>
            </w:r>
            <w:r>
              <w:rPr>
                <w:rFonts w:ascii="Times New Roman"/>
                <w:b w:val="false"/>
                <w:i w:val="false"/>
                <w:color w:val="000000"/>
                <w:sz w:val="20"/>
              </w:rPr>
              <w:t>
</w:t>
            </w:r>
            <w:r>
              <w:rPr>
                <w:rFonts w:ascii="Times New Roman"/>
                <w:b/>
                <w:i w:val="false"/>
                <w:color w:val="000000"/>
                <w:sz w:val="20"/>
              </w:rPr>
              <w:t>городского</w:t>
            </w:r>
            <w:r>
              <w:br/>
            </w:r>
            <w:r>
              <w:rPr>
                <w:rFonts w:ascii="Times New Roman"/>
                <w:b w:val="false"/>
                <w:i w:val="false"/>
                <w:color w:val="000000"/>
                <w:sz w:val="20"/>
              </w:rPr>
              <w:t>
</w:t>
            </w:r>
            <w:r>
              <w:rPr>
                <w:rFonts w:ascii="Times New Roman"/>
                <w:b/>
                <w:i w:val="false"/>
                <w:color w:val="000000"/>
                <w:sz w:val="20"/>
              </w:rPr>
              <w:t>управления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не</w:t>
            </w:r>
            <w:r>
              <w:br/>
            </w:r>
            <w:r>
              <w:rPr>
                <w:rFonts w:ascii="Times New Roman"/>
                <w:b w:val="false"/>
                <w:i w:val="false"/>
                <w:color w:val="000000"/>
                <w:sz w:val="20"/>
              </w:rPr>
              <w:t>
</w:t>
            </w:r>
            <w:r>
              <w:rPr>
                <w:rFonts w:ascii="Times New Roman"/>
                <w:b w:val="false"/>
                <w:i w:val="false"/>
                <w:color w:val="000000"/>
                <w:sz w:val="20"/>
              </w:rPr>
              <w:t>менее 50%</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электронную</w:t>
            </w:r>
            <w:r>
              <w:br/>
            </w:r>
            <w:r>
              <w:rPr>
                <w:rFonts w:ascii="Times New Roman"/>
                <w:b w:val="false"/>
                <w:i w:val="false"/>
                <w:color w:val="000000"/>
                <w:sz w:val="20"/>
              </w:rPr>
              <w:t>
</w:t>
            </w:r>
            <w:r>
              <w:rPr>
                <w:rFonts w:ascii="Times New Roman"/>
                <w:b w:val="false"/>
                <w:i w:val="false"/>
                <w:color w:val="000000"/>
                <w:sz w:val="20"/>
              </w:rPr>
              <w:t>форму в рамках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"электронное</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и "электронные</w:t>
            </w:r>
            <w:r>
              <w:br/>
            </w:r>
            <w:r>
              <w:rPr>
                <w:rFonts w:ascii="Times New Roman"/>
                <w:b w:val="false"/>
                <w:i w:val="false"/>
                <w:color w:val="000000"/>
                <w:sz w:val="20"/>
              </w:rPr>
              <w:t>
</w:t>
            </w:r>
            <w:r>
              <w:rPr>
                <w:rFonts w:ascii="Times New Roman"/>
                <w:b w:val="false"/>
                <w:i w:val="false"/>
                <w:color w:val="000000"/>
                <w:sz w:val="20"/>
              </w:rPr>
              <w:t>акиматы"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в "Заключение":</w:t>
      </w:r>
      <w:r>
        <w:br/>
      </w:r>
      <w:r>
        <w:rPr>
          <w:rFonts w:ascii="Times New Roman"/>
          <w:b w:val="false"/>
          <w:i w:val="false"/>
          <w:color w:val="000000"/>
          <w:sz w:val="28"/>
        </w:rPr>
        <w:t>
      часть четвертую после слова "задач" дополнить словами ", а также программа развития территорий.";</w:t>
      </w:r>
      <w:r>
        <w:br/>
      </w:r>
      <w:r>
        <w:rPr>
          <w:rFonts w:ascii="Times New Roman"/>
          <w:b w:val="false"/>
          <w:i w:val="false"/>
          <w:color w:val="000000"/>
          <w:sz w:val="28"/>
        </w:rPr>
        <w:t>
      в части шестой:</w:t>
      </w:r>
      <w:r>
        <w:br/>
      </w:r>
      <w:r>
        <w:rPr>
          <w:rFonts w:ascii="Times New Roman"/>
          <w:b w:val="false"/>
          <w:i w:val="false"/>
          <w:color w:val="000000"/>
          <w:sz w:val="28"/>
        </w:rPr>
        <w:t>
      в абзаце втором цифры "20" заменить цифрами "4,8";</w:t>
      </w:r>
      <w:r>
        <w:br/>
      </w:r>
      <w:r>
        <w:rPr>
          <w:rFonts w:ascii="Times New Roman"/>
          <w:b w:val="false"/>
          <w:i w:val="false"/>
          <w:color w:val="000000"/>
          <w:sz w:val="28"/>
        </w:rPr>
        <w:t>
      в абзаце третьем цифры "25" заменить цифрами "3,5";</w:t>
      </w:r>
      <w:r>
        <w:br/>
      </w:r>
      <w:r>
        <w:rPr>
          <w:rFonts w:ascii="Times New Roman"/>
          <w:b w:val="false"/>
          <w:i w:val="false"/>
          <w:color w:val="000000"/>
          <w:sz w:val="28"/>
        </w:rPr>
        <w:t>
      в абзаце четвертом цифру "4" заменить цифрами "4,4";</w:t>
      </w:r>
      <w:r>
        <w:br/>
      </w:r>
      <w:r>
        <w:rPr>
          <w:rFonts w:ascii="Times New Roman"/>
          <w:b w:val="false"/>
          <w:i w:val="false"/>
          <w:color w:val="000000"/>
          <w:sz w:val="28"/>
        </w:rPr>
        <w:t>
      в абзаце пятом цифры "20" заменить цифрами "50";</w:t>
      </w:r>
      <w:r>
        <w:br/>
      </w:r>
      <w:r>
        <w:rPr>
          <w:rFonts w:ascii="Times New Roman"/>
          <w:b w:val="false"/>
          <w:i w:val="false"/>
          <w:color w:val="000000"/>
          <w:sz w:val="28"/>
        </w:rPr>
        <w:t>
      в абзаце шестом цифру "3" заменить цифрой "2".</w:t>
      </w:r>
      <w:r>
        <w:br/>
      </w:r>
      <w:r>
        <w:rPr>
          <w:rFonts w:ascii="Times New Roman"/>
          <w:b w:val="false"/>
          <w:i w:val="false"/>
          <w:color w:val="000000"/>
          <w:sz w:val="28"/>
        </w:rPr>
        <w:t>
      2.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