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fec0" w14:textId="5def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требованиях к обмену информацией между таможенными органами и иными государственными органами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требованиях к обмену информацией между таможенными органами и иными государственными органами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требованиях к обмену информацией между таможенными органами и иными государственными органами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437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требованиях к обмену информацией между таможенными органами и</w:t>
      </w:r>
      <w:r>
        <w:br/>
      </w:r>
      <w:r>
        <w:rPr>
          <w:rFonts w:ascii="Times New Roman"/>
          <w:b/>
          <w:i w:val="false"/>
          <w:color w:val="000000"/>
        </w:rPr>
        <w:t>
иными государственными органами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Таможенном кодексе таможенного союза от 27 ноября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нормативной правовой базы для организации обмена информацией между таможенными органами государств-членов таможенного союза, а также между таможенными органами одного государства-члена таможенного союза и иными государственными органами другого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экономических интересов, развития внешней и взаимной торговли государств-членов таможенного союза и повышения эффективности выполнения государственных функций государственными органами государств-членов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таможенного союза обмениваются информацией, полученной таможенными органами в соответствии с таможенным законодательством таможенного союза и (или)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одного государства-члена таможенного союза предоставляют информацию, полученную таможенными органами в соответствии с таможенным законодательством таможенного союза и (или) законодательством государств-членов таможенного союза иному государственному органу другого государства-члена таможенного союза через таможенный орган другого государства-члена таможенного союза в соответствии с таможенным законодательством таможенного союза и настоящим Соглашением.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статье 1 настоящего Соглашения, формируется из официальных данных таможенных органов и иных государственных органов государств-членов таможенного союза и предоставляется на безвозмездной основе.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обмена информацией между таможенными органами государств-членов таможенного союза определяется заключенными международными соглашениями и иными международными нормативными правовыми актами государств-членов таможенного союза.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таможенными органами государств-членов таможенного союза с использованием информационных технологий и систем, создаваемых в рамках таможенного союза, осуществляется на уровне центральных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Центральными таможенными органами для целей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таможенный комитет Республики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таможенного контроля Министерства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таможенная служба Российской Федерации.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реализации требований заключенных международных соглашений и иных международных нормативных правовых актов, указанных в статье 3 настоящего Соглашения и предусматривающих организацию информационного обмена с использованием информационных технологий и систем, таможенными органами государств-членов таможенного союза разрабатываются Технические условия и (или) Технологии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должны определять структуру и форматы информации, а также требования к средствам вычислительной техники, программным средствам, средствам телекоммуникаций, связи и средствам защиты информации и иные технические требования, необходимые для организации информационного обмена.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 иные государственные органы государств-членов таможенного союза обязуются не передавать третьей стороне указанную в статье 1 настоящего Соглашения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под третьей стороной понимается лицо, не участвующее в информационном обмене в соответствии с настоящим Соглашением.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 иные государственные органы государств-членов таможенного союза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достоверность передаваемой информации и в случае необходимости оперативно вносить в нее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предупреждать о невозможности передачи информации в случае возникновения непредвиденных обстоятельств.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 иные государственные органы государств-членов таможенного союза, намеревающиеся прекратить передачу информации, должны выразить свое намерение об этом в письменном виде и не менее чем за шесть месяцев.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то, при отсутствии иной договоренности между Сторонами относительно способа разрешения спора, любая из сторон может передать этот спор для рассмотрения в Суд Евразийского экономического сообщества.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 "___" _________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