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970b" w14:textId="32f9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квот на изъятие объектов животного мира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2010 года № 570.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27 февраля 2015 года № 18-04/149.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7-1)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использования животного мира",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квоты на изъятие объектов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2010 года № 570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распределения квот на изъятие объектов животного мира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распределения квот на изъятие объектов животного мира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и устанавливают порядок </w:t>
      </w:r>
      <w:r>
        <w:rPr>
          <w:rFonts w:ascii="Times New Roman"/>
          <w:b w:val="false"/>
          <w:i w:val="false"/>
          <w:color w:val="000000"/>
          <w:sz w:val="28"/>
        </w:rPr>
        <w:t>распределения квот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изъятие объектов животного мира, являющихся объектом охоты, рыбных ресурсов и других водных животных между субъектами охотничьего и рыбного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территориальное подразделение Комитета лесного и охотничьего хозяйства – территориальное подразделение Комитета лесного и охотничьего хозяйства Министерства окружающей среды и водных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территориальное подразделение Комитета рыбного хозяйства – территориальное подразделение Комитета рыбного хозяйства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03.06.2014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Распределение квот на изъятие видов животных, являющихся объектами охоты, между субъектами охотничьего хозяйства осуществляется с учетом ресурсов животных, производительности охотничьих угодий и заявок субъектов охотничьего хозяйства на добывание видов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Распределение квот на изъятие видов животных, являющихся объектами охоты, осуществляется территориальными подразделениями Комитета лесного и охотничьего хозяйства с участием аккредитованных республиканских ассоциаций общественных объединений охотников и субъектов охотничьего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4 в редакции постановления Правительства РК от 07.11.2012 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Распределение квот на изъятие рыбных ресурсов и других водных животных осуществляется территориальными подразделениями Комитета рыбного хозяйства c участием аккредитованных республиканских ассоциаций общественных объединений рыболовов и субъектов рыбного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5 в редакции постановления Правительства РК от 07.11.2012 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распределения квот на изъятие видов животных,</w:t>
      </w:r>
      <w:r>
        <w:br/>
      </w:r>
      <w:r>
        <w:rPr>
          <w:rFonts w:ascii="Times New Roman"/>
          <w:b/>
          <w:i w:val="false"/>
          <w:color w:val="000000"/>
        </w:rPr>
        <w:t>
являющихся объектами охоты, между субъектами</w:t>
      </w:r>
      <w:r>
        <w:br/>
      </w:r>
      <w:r>
        <w:rPr>
          <w:rFonts w:ascii="Times New Roman"/>
          <w:b/>
          <w:i w:val="false"/>
          <w:color w:val="000000"/>
        </w:rPr>
        <w:t>
охотничьего хозяйства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 охотничьего хозяйства до 1 октября предшествующего года на основании учетных данных по видам животных, являющихся объектами охоты, представляет в территориальное подразделение Комитета лесного и охотничьего хозяйства заявку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краткой справкой о продуктивности охотничьих угодий и уровне ведения охотничьего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заявке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численность (особей)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утвержденный норматив изъятия;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запрашиваемая квота изъятия (особей), в том числе (для копытных), самцов, самок, сеголеток.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Формирование квот на изъятие видов животных, являющихся объектами охоты, на соответствующий год, осуществляется территориальными подразделениями Комитета лесного и охотничьего хозяйства, на основании поданных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Заявленная квота на изъятие видов животных должна соответствовать утвержденным в установленном порядке </w:t>
      </w:r>
      <w:r>
        <w:rPr>
          <w:rFonts w:ascii="Times New Roman"/>
          <w:b w:val="false"/>
          <w:i w:val="false"/>
          <w:color w:val="000000"/>
          <w:sz w:val="28"/>
        </w:rPr>
        <w:t>нормативам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 видов животных, являющихся объектами охоты.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10. В течение десяти календарных дней после утверждения Правительством Республики Казахстан лимитов на изъятие объектов животного мира, являющихся объектами охоты, территориальным подразделением Комитета лесного и охотничьего хозяйства с участием аккредитованных республиканских ассоциаций общественных объединений охотников и субъектов охотничьего хозяйства с учетом поданных заявок осуществляются распределение и утверждение квот на изъятие видов животных, являющихся объектами охоты, в разрезе субъектов охотничьих хозяйств, предварительно согласованных с Комитетом лесного и охотничьего хозяйства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  Сноска. Пункт 10 в редакции постановления Правительства РК от 03.06.2014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снижении численности видов животных вследствие неблагоприятных природных явлений (джут, болезни и другие) квота на изъятие видов животных устанавливается исходя из фактических ресурсов видов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ресурсы видов животных не позволяют их изъятие, или субъектом охотничьего хозяйства нарушаются обязательства,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ведение охотничьего хозяйства, то субъектам указанных охотничьих хозяйств, квота на добывание видов животных не выделяется.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распределения квот на изъятие рыбных ресурсов</w:t>
      </w:r>
      <w:r>
        <w:br/>
      </w:r>
      <w:r>
        <w:rPr>
          <w:rFonts w:ascii="Times New Roman"/>
          <w:b/>
          <w:i w:val="false"/>
          <w:color w:val="000000"/>
        </w:rPr>
        <w:t>
и других водных животных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Квоты на изъятие рыбных ресурсов распределяются между субъектами рыбного хозяйства, за которыми закреплены рыбохозяйственные водоемы и (или) участки, на основании утвержденных Правительством Республики Казахстан лимитов (в части рыбных ресурсов и других водных животных) изъятия объектов животного мира на соответствующий год, процентном соотношении к видовому составу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течении трех рабочих дней после утверждения Правительством Республики Казахстан лимитов на изъятие объектов животного мира (в части рыбных ресурсов и других водных животных) территориальные подразделения Комитета рыбного хозяйства устанавливают квоту для осуществления лова в </w:t>
      </w:r>
      <w:r>
        <w:rPr>
          <w:rFonts w:ascii="Times New Roman"/>
          <w:b w:val="false"/>
          <w:i w:val="false"/>
          <w:color w:val="000000"/>
          <w:sz w:val="28"/>
        </w:rPr>
        <w:t>воспроизводственных целях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любительского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(спортивного) рыболовства, </w:t>
      </w:r>
      <w:r>
        <w:rPr>
          <w:rFonts w:ascii="Times New Roman"/>
          <w:b w:val="false"/>
          <w:i w:val="false"/>
          <w:color w:val="000000"/>
          <w:sz w:val="28"/>
        </w:rPr>
        <w:t>научно-исследовательского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контрольного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мелиоративного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экспериментального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лова в пределах 7 % от общего лимита каждого рыбохозяйственного водоема.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резервных участков на рыбохозяйственном водоеме территориальные подразделения Комитета рыбного хозяйства на данные водоемы и (или) участки устанавливают квоту до распределения квот субъектам рыбного хозяйства в пределах объема полученных по рекомендациям научных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квоты на изъятие рыбных ресурсов и других водных животных субъекты рыбного хозяйства до 1 февраля текущего года представляют в территориальное подразделение Комитета рыбного хозяйства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заявке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субъекта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закрепленного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рыбохозяйственного водоема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участка, с указанием даты и номера заключения Договора на ведение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объем финансовых средств, направленных в текущем году на воспроизводство рыбных ресурсов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23.09.2011 </w:t>
      </w:r>
      <w:r>
        <w:rPr>
          <w:rFonts w:ascii="Times New Roman"/>
          <w:b w:val="false"/>
          <w:i w:val="false"/>
          <w:color w:val="000000"/>
          <w:sz w:val="28"/>
        </w:rPr>
        <w:t>№ 1088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со дня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18. Квоты изъятия рыбных ресурсов и других водных животных на водоемы, не разделенные на промысловые участки, распределяются территориальными подразделениями Комитета рыбного хозяйства с участием аккредитованных республиканских ассоциаций общественных объединений рыболовов и субъектов рыбного хозяйства (при наличии) в соответствии с лимитами на изъятие рыбных ресурсов и других водных животных, утвержденных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18 в редакции постановления Правительства РК от 07.11.2012 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Распределение квот на рыбохозяйственных водоемах, разделенных на два и более рыбохозяйственных участка, закрепленных за разными субъектами рыбного хозяйства, осуществляется пропорционально с учетом поданных заявок субъектами рыбного хозяйства в процентном соотношении к видовому составу утвержденного лимита изъятия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рыбопромысловых районов (биотопов) на водоеме, определенных по рекомендациям научных организаций, распределение квоты проводится с учетом рыбопромысловых районов (биотопов).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Итоги распределения квот изъятия рыбных ресурсов и других водных животных подводятся в течении двадцати одного календарного дня после утверждения лимитов изъятия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Субъекты рыбного хозяйства, получившие квоту на изъятие рыбных ресурсов и других водных животных, ежемесячно предоставляют отчет об ее использовании в территориальное подразделение Комитета рыбного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постановления Правительства РК от 23.09.2011 </w:t>
      </w:r>
      <w:r>
        <w:rPr>
          <w:rFonts w:ascii="Times New Roman"/>
          <w:b w:val="false"/>
          <w:i w:val="false"/>
          <w:color w:val="000000"/>
          <w:sz w:val="28"/>
        </w:rPr>
        <w:t>№ 1088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22. В случае неосвоения субъектом рыбного хозяйства до 1 июля текущего года 25 % выделенной квоты на изъятие рыбных ресурсов и других водных животных, территориальное подразделение Комитета рыбного хозяйства с участием аккредитованных республиканских ассоциаций общественных объединений рыболовов и субъектов рыбного хозяйства перераспределяет часть неосвоенной выделенной квоты, а также квоты резервного фонда рыбохозяйственных участков другому субъекту рыбного хозяйства на другие участки данного рыбохозяйственного водоема.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22 в редакции постановления Правительства РК от 07.11.2012 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9"/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распределения квот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изъятие объектов животного мира</w:t>
      </w:r>
    </w:p>
    <w:bookmarkEnd w:id="10"/>
    <w:bookmarkStart w:name="z6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квоты на изъятие по видам животных,</w:t>
      </w:r>
      <w:r>
        <w:br/>
      </w:r>
      <w:r>
        <w:rPr>
          <w:rFonts w:ascii="Times New Roman"/>
          <w:b/>
          <w:i w:val="false"/>
          <w:color w:val="000000"/>
        </w:rPr>
        <w:t>
являющихся объектами охоты для охотничьего хозяйства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6"/>
        <w:gridCol w:w="1533"/>
        <w:gridCol w:w="2064"/>
        <w:gridCol w:w="2234"/>
        <w:gridCol w:w="2084"/>
        <w:gridCol w:w="1048"/>
        <w:gridCol w:w="989"/>
        <w:gridCol w:w="992"/>
      </w:tblGrid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охотхозяйства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(особей)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 году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(особей)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копытных)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леток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руководителя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охотничьего хозяйства              _____________   подпись</w:t>
      </w:r>
    </w:p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распределения квот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изъятие объектов животного мира</w:t>
      </w:r>
    </w:p>
    <w:bookmarkEnd w:id="12"/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на изъятие рыбных ресурсов и других водных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в рыбохозяйственных водоемах и (или) участках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Республики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субъекта рыбного хозяйства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закрепленного рыбохозяйственного водоема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участка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Договора на ведение рыбного хозяйства № ___ от "__"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года, заключенного с территориальным подразделением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Запрашиваемая квота изъятия рыбных ресурсов и других 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 с учетом рыбопродуктивных районов (битопов)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руководителя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рыбного хозяйства                                    Подпись</w:t>
      </w:r>
    </w:p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распределения квот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изъятие объектов животного мира</w:t>
      </w:r>
    </w:p>
    <w:bookmarkEnd w:id="14"/>
    <w:bookmarkStart w:name="z7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Итоги</w:t>
      </w:r>
      <w:r>
        <w:br/>
      </w:r>
      <w:r>
        <w:rPr>
          <w:rFonts w:ascii="Times New Roman"/>
          <w:b/>
          <w:i w:val="false"/>
          <w:color w:val="000000"/>
        </w:rPr>
        <w:t>
распределения квот</w:t>
      </w:r>
      <w:r>
        <w:br/>
      </w:r>
      <w:r>
        <w:rPr>
          <w:rFonts w:ascii="Times New Roman"/>
          <w:b/>
          <w:i w:val="false"/>
          <w:color w:val="000000"/>
        </w:rPr>
        <w:t>
вылова рыбных ресурсов и других водных животных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исключено постановлением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распределения квот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изъятие объектов животного мира</w:t>
      </w:r>
    </w:p>
    <w:bookmarkEnd w:id="16"/>
    <w:bookmarkStart w:name="z7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подсчета рейтинговой оценки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исключено постановлением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