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725b" w14:textId="a8d7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"О таможенном деле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2011 года № 85.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финансов Республики Казахстан от 30 марта 2015 года № 230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от 30 июня 2010 года "О таможенном деле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2011 года № 85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программным продуктам, используемым декларантами или лицами,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осуществляющими деятельность в сфере таможенного дела, для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документов и сведений, предусмотренных Кодексом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"О таможенном деле в Республике Казахстан"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продукт, используемый декларантами или лицами, осуществляющими деятельность в сфере таможенного дела, для представления документов и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Казахстан", должен: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форматно-логический контроль заполнения таможенных документов, установленных в соответствии с таможенным законодательством таможенного союза (решения Комиссии Таможенного союза либо соглашения государств-членов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нормативно-справочную информацию обновляемую из электронных справочников и классификаторов, размещаемых на интернет-ресурсе, веб-портале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структуру и формат электронных копий таможенных документов, установленных в соответствии с таможенным законодательством таможенного союза (решения Комиссии Таможенного союза либо соглашения государств-членов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соответствовать требованиям информационной безопасности и принятым на территории Республики Казахстан стандартам в соответствии с действующим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