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9321" w14:textId="5c4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2009 года № 1710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231. Утратило силу постановлением Правительства Республики Казахстан от 12 марта 2014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2009 года № 1710 "Об утверждении стандартов оказания государственных услуг Министерством транспорта и коммуникаций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"Министерством" заменить словом "Министерства";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"Выдача удостоверений на право управления маломерными судами"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"Государственная регистрация речных судов и прав на них в Государственном судовом реестре"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"Государственная регистрация речных судов в реестре арендованных иностранных судов"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"Государственная регистрация маломерных судов"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"Регистрация железнодорожного подвижного состава"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"Регистрация залога железнодорожного подвижного состава"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удостоверений на право управления маломерными судами"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маломерными судами"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приложении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 17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транспорте", Инструкции по аттестации судоводителей на право управления маломерным судном,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августа 1998 года № 172 "Об утверждении документов, регламентирующих безопасность плавания маломерных судов на водоемах Республики Казахстан" (зарегистрированным в Реестре государственной регистрации нормативных правовых актов за № 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www.mtk.gov.kz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удостоверения на право управления маломерным судном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удостоверения на право управления маломерным судном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удостоверения на право управления маломерным судном: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или по доверенности его уполномоченный представитель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государственной услуги по выдаче удостоверения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окончании курсов подготовки судоводителей-любителей, которая выдается учебными организациями, осуществляющими подготовку судоводителей;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(форма № 083/У), которая выдается учреждениями здравоохранения по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 фотографии размером 3 x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 выдается сотрудником уполномоченного органа по адресам, указанным в приложении 1 к настоящему стандарту,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приложении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сдавшему документы, перечисленные в пункте 11 настоящего стандарта, сотрудником канцелярии уполномоченного органа выдается экзаменационный лист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на право управления маломерным судном выдается сотрудником канцелярии уполномоченного органа потребителю под личную расписку в журнале выдачи удостоверений на право управления маломерными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удостоверения на право управления маломерным судном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 отрицательная сдача экзаменов на право управления маломерным судном.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стандарт, и ненадлежащем оформлении документов в течение 3 рабочих дней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через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канцелярии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уполномоченным органом,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батыра, 32/1, адрес электронной почты: ktk@mtc.gov.kz, телефон приемной (7172)24-27-08.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(9.00 - 18:30),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маломерными судами"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Жалаири,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«Сарыарқа»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маломерными судами"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2-23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маломерными судами"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маломерными судами"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2302"/>
        <w:gridCol w:w="2420"/>
        <w:gridCol w:w="2704"/>
      </w:tblGrid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  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23"/>
    <w:bookmarkStart w:name="z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речных судов</w:t>
      </w:r>
      <w:r>
        <w:br/>
      </w:r>
      <w:r>
        <w:rPr>
          <w:rFonts w:ascii="Times New Roman"/>
          <w:b/>
          <w:i w:val="false"/>
          <w:color w:val="000000"/>
        </w:rPr>
        <w:t>
и прав на них в Государственном судовом реестре"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речных судов и прав на них в Государственном судовом реестре"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приложении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Республики Казахстан от 6 июля 2004 года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"Об утверждении Правил государственной регистрации судов и прав на них"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судового свидетельства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судового свидетельства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в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неделю,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26"/>
    <w:bookmarkStart w:name="z1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или по доверенности его уполномоченный представитель представляет заявление о государственной регистрации судов и прав на них, которое должно содержать анкету судового реестра установленной формы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право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годности к плаванию,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мерительное свидетельство (для судов плавания "река-море"),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классификационное свидетельство, которое выдается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пассажирское свидетельство (для пассажирского судна),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суммы сбора за государственную регистрацию речных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-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регистрацию документы, не должны иметь подчистки либо приписки, зачеркнутые слова и иные не 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исполнены карандашом;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указанные в подпунктах 1) - 5) настоящего пункта,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и анкеты судового реестра установленного образца выдаются сотрудником уполномоченного органа,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приложении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Судовое свидетельство выдается канцелярией уполномоченного органа потребителю после регистрации речного судна и прав на него в государственном судовом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потребителю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заявлением о государственной регистрации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представленные для государственной регистрации, не соответствуют требованиям,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стандарта, и ненадлежащем оформлении документов в течение 3 рабочих дней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через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28"/>
    <w:bookmarkStart w:name="z1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0"/>
    <w:bookmarkStart w:name="z1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32"/>
    <w:bookmarkStart w:name="z1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канцелярий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уполномоченным органом,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 32/1, адрес электронной почты: ktk@mtc.gov.kz, телефон приемной (7172) 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(9:00 - 18:30),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34"/>
    <w:bookmarkStart w:name="z1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 на них в Государственном судовом реестре"</w:t>
      </w:r>
    </w:p>
    <w:bookmarkEnd w:id="35"/>
    <w:bookmarkStart w:name="z1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4,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Жалаири,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1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в государственном судовом реестре"</w:t>
      </w:r>
    </w:p>
    <w:bookmarkEnd w:id="37"/>
    <w:bookmarkStart w:name="z1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2-23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 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1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в государственном судовом реестре"</w:t>
      </w:r>
    </w:p>
    <w:bookmarkEnd w:id="39"/>
    <w:bookmarkStart w:name="z1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«Сарыарка»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 на них в Государственном судовом реестре"</w:t>
      </w:r>
    </w:p>
    <w:bookmarkEnd w:id="41"/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2302"/>
        <w:gridCol w:w="2420"/>
        <w:gridCol w:w="2704"/>
      </w:tblGrid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 </w:t>
      </w:r>
    </w:p>
    <w:bookmarkEnd w:id="43"/>
    <w:bookmarkStart w:name="z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44"/>
    <w:bookmarkStart w:name="z1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речных судов</w:t>
      </w:r>
      <w:r>
        <w:br/>
      </w:r>
      <w:r>
        <w:rPr>
          <w:rFonts w:ascii="Times New Roman"/>
          <w:b/>
          <w:i w:val="false"/>
          <w:color w:val="000000"/>
        </w:rPr>
        <w:t>
в реестре арендованных иностранных судов"</w:t>
      </w:r>
    </w:p>
    <w:bookmarkEnd w:id="45"/>
    <w:bookmarkStart w:name="z1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1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речных судов в реестре арендованных, иностранных судов"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приложений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"Об утверждении Правил государственной регистрации судов и прав на них"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www.mtk.gov.kz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свидетельства о временном предоставлении права плавания под Государственным флагом Республики Казахстан иностранному судну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судового свидетельства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в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47"/>
    <w:bookmarkStart w:name="z21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8"/>
    <w:bookmarkStart w:name="z2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или по доверенности его уполномоченный представитель представляет заявление о государственной регистрации судна, которое должно содержать анкету судового реестра установленной формы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право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годности к плаванию,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мерительное свидетельство (для судов плавания "река-море"),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классификационное свидетельство, которое выдается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пассажирское свидетельство (для пассажирского судна), которое выдается государственным учреждением "Регистр судоходства";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суммы сбора за государственную регистрацию речных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решение государственного учреждения "Комитет транспорта и путей сообщения Министерства транспорта и коммуникаций Республики Казахстан" о временном предоставлении иностранному судну права плавания под Государственным флагом Республики Казахстан и об определении названия этого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выданный компетентными властями иностранного государства, в котором судно зарегистрировано непосредственно до смены флага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разрешение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имя и адрес казахстанского арендатора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-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регистрацию документы, не должны иметь подчистки либо приписки, зачеркнутые слова и иные не 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исполнены карандашом;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указанные в подпунктах 1) - 5), 8), 11) настоящего пункта,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и анкеты судового реестра установленного образца выдается сотрудником уполномоченного органа,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приложений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временном предоставлении права плавания под Государственным флагом Республики Казахстан иностранному судну выдается канцелярией уполномоченного органа потребителю после регистрации речного судна в реестре арендованных иностранных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потребителю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заявлением о государственной регистрации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представленные для государственной регистрации, не соответствуют требованиям,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стандарт, и ненадлежащем оформлении документов в течение 3 рабочих дней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в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49"/>
    <w:bookmarkStart w:name="z2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0"/>
    <w:bookmarkStart w:name="z2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51"/>
    <w:bookmarkStart w:name="z2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2"/>
    <w:bookmarkStart w:name="z2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53"/>
    <w:bookmarkStart w:name="z2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4"/>
    <w:bookmarkStart w:name="z2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канцелярий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через уполномоченный орган,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 32/1, адрес электронной почты: ktk@mtc.gov.kz, телефон приемной (7172) 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(9:00 - 18:30),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55"/>
    <w:bookmarkStart w:name="z2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судов"</w:t>
      </w:r>
    </w:p>
    <w:bookmarkEnd w:id="56"/>
    <w:bookmarkStart w:name="z2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4,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Жалаири,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«Сарыарқа»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2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судов"</w:t>
      </w:r>
    </w:p>
    <w:bookmarkEnd w:id="58"/>
    <w:bookmarkStart w:name="z2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2-23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2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судов"</w:t>
      </w:r>
    </w:p>
    <w:bookmarkEnd w:id="60"/>
    <w:bookmarkStart w:name="z2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2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речных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судов"</w:t>
      </w:r>
    </w:p>
    <w:bookmarkEnd w:id="62"/>
    <w:bookmarkStart w:name="z2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2302"/>
        <w:gridCol w:w="2420"/>
        <w:gridCol w:w="2704"/>
      </w:tblGrid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  </w:t>
      </w:r>
    </w:p>
    <w:bookmarkEnd w:id="64"/>
    <w:bookmarkStart w:name="z2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65"/>
    <w:bookmarkStart w:name="z2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маломерных судов"</w:t>
      </w:r>
    </w:p>
    <w:bookmarkEnd w:id="66"/>
    <w:bookmarkStart w:name="z2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2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маломерных судов"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приложении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"Об утверждении Правил государственной регистрации судов и прав на них"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судового билета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судового билета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маломерных судов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составляют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самоходных маломерных судов мощностью свыше 50 лошадиных сил (37 кВт) -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самоходных маломерных судов мощностью до 50 лошадиных сил (37 кВт) - двухкратный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несамоходных маломерных судов - полуторакратный месячный расчетный показатель, действующий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в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68"/>
    <w:bookmarkStart w:name="z3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9"/>
    <w:bookmarkStart w:name="z3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или по доверенности его уполномоченный представитель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заявление, в котором указываются основные технические данные судна, место его стоянки, наименование и юридический адрес, фамилия, имя, отчество, год рождения, место постоянного жительства, место работы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получение или приобретение маломерного судна либо материалов, если судно построено своими силами (счета, товарные чеки магазинов, справки на материалы, договоры купли-продажи, акты дарения, свидетельства о наследовании, решение суда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оплате сбора за государственную регистрацию маломерных судов по месту постоянного жительства (прописки);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судна заводской постройки и технического паспорта двигателя с отметкой торгующей организации об их продаже, а для судов индивидуальной постройки или переоборудованных - документов и технической документации на постройку судна, соответствующей нормативам и техническим требованиям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-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регистрацию документы, не должны иметь подчистки либо приписки, зачеркнутые слова и иные не 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исполнены карандашом;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указанные в подпунктах 2) и 4) настоящего пункта,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 выдается сотрудником уполномоченного органа,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приложении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Судовой билет выдается канцелярией уполномоченного органа потребителю после регистрации маломерного судна в судовой книге под личную расписку в журнале выдачи судовых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потребителю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заявлением о государственной регистрации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представленные для государственной регистрации, не соответствуют требованиям,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стандарта, и ненадлежащем оформлении документов в течение 3 рабочих дней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через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70"/>
    <w:bookmarkStart w:name="z3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1"/>
    <w:bookmarkStart w:name="z3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72"/>
    <w:bookmarkStart w:name="z3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3"/>
    <w:bookmarkStart w:name="z3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74"/>
    <w:bookmarkStart w:name="z35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5"/>
    <w:bookmarkStart w:name="z3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канцелярий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уполномоченным органом,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 32/1, адрес электронной почты: ktk@mtc.gov.kz, телефон приемной (7172) 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(9:00 - 18:30),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76"/>
    <w:bookmarkStart w:name="z3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маломерных судов"</w:t>
      </w:r>
    </w:p>
    <w:bookmarkEnd w:id="77"/>
    <w:bookmarkStart w:name="z3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А.Молдагулова 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Жалаири,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«Сарыарқа»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3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маломерных судов"</w:t>
      </w:r>
    </w:p>
    <w:bookmarkEnd w:id="79"/>
    <w:bookmarkStart w:name="z3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 д. 2-23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7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3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маломерных судов"</w:t>
      </w:r>
    </w:p>
    <w:bookmarkEnd w:id="81"/>
    <w:bookmarkStart w:name="z3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3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маломерных судов"</w:t>
      </w:r>
    </w:p>
    <w:bookmarkEnd w:id="83"/>
    <w:bookmarkStart w:name="z3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2302"/>
        <w:gridCol w:w="2420"/>
        <w:gridCol w:w="2704"/>
      </w:tblGrid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  </w:t>
      </w:r>
    </w:p>
    <w:bookmarkEnd w:id="85"/>
    <w:bookmarkStart w:name="z3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86"/>
    <w:bookmarkStart w:name="z37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железнодорожного подвижного состава"</w:t>
      </w:r>
    </w:p>
    <w:bookmarkEnd w:id="87"/>
    <w:bookmarkStart w:name="z3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bookmarkStart w:name="z3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железнодорожного подвижного состава"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приложении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 является выдача свидетельства о государственной регистрации железнодорожного подвижного состава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организациям, находящимся на территории Республики Казахстан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в течение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в течение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государственной регистрации железнодорожного подвижного состава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15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услуги осуществляется в здании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89"/>
    <w:bookmarkStart w:name="z4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0"/>
    <w:bookmarkStart w:name="z4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физическое лицо или по доверенности его уполномоченный представитель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выдается сотрудником уполномоченного органа,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лизинге, засвидетельствованный подписью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удостоверяющий личность физического лица или документы, подтверждающие полномочия представителя и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 в случае регистрации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технический паспорта (формуляр) завода-изготовителя на каждую единицу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юридическое лицо или по доверенности его уполномоченный представитель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выдается сотрудником уполномоченного органа,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имеющегося инвентарного парка железнодорожного подвижного состава, в том числе находящегося в доверительном управлении, имущественном найме или лизинге, заверенный подписью первого руководителя юридического лица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руководителя или документ, подтверждающий полномочия представителя и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технический паспорт (формуляр) завода-изготовителя на каждую единицу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железнодорожного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-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регистрацию документы, не должны иметь подчистки либо приписки, зачеркнутые слова и иные не 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исполнены карандашом;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указанные в подпунктах 3) - 6) настоящего пункта,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образца, выдается сотрудником уполномоченного органа,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приложении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государственной регистрации железнодорожного подвижного состава выдается канцелярией уполномоченного органа потребителю (представителю) железнодорожного подвижного состава под личную расписку в реестре выдачи свидетельств железнодорожного подвижного состава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потребителю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физическими и юридическими лицами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физическими и юридическими лицами документов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в представленных уполномоченному органу документах подчисток, рукописных или машинописных исправлений или отсутствия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нахождения железнодорожного подвижного состава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потребителю уполномоченный орган не позднее 5 рабочих дней со дня поступления заявления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стандарта, и ненадлежащем оформлении документов в течение 3 рабочих дней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через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91"/>
    <w:bookmarkStart w:name="z44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2"/>
    <w:bookmarkStart w:name="z4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3"/>
    <w:bookmarkStart w:name="z44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4"/>
    <w:bookmarkStart w:name="z4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95"/>
    <w:bookmarkStart w:name="z45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6"/>
    <w:bookmarkStart w:name="z4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канцелярий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уполномоченным органом,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 32/1, адрес электронной почты: ktk@mtc.gov.kz, телефон приемной (7172)24-27-08.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(9:00 - 18:30),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97"/>
    <w:bookmarkStart w:name="z4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железнодорожного подвижного состава"</w:t>
      </w:r>
    </w:p>
    <w:bookmarkEnd w:id="98"/>
    <w:bookmarkStart w:name="z4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Жалаири,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«Сарыарқа»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4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железнодорожного подвижного состава"</w:t>
      </w:r>
    </w:p>
    <w:bookmarkEnd w:id="100"/>
    <w:bookmarkStart w:name="z4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2-23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4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железнодорожного подвижного состава"</w:t>
      </w:r>
    </w:p>
    <w:bookmarkEnd w:id="102"/>
    <w:bookmarkStart w:name="z4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4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состава"</w:t>
      </w:r>
    </w:p>
    <w:bookmarkEnd w:id="104"/>
    <w:bookmarkStart w:name="z4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2302"/>
        <w:gridCol w:w="2420"/>
        <w:gridCol w:w="2704"/>
      </w:tblGrid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231 </w:t>
      </w:r>
    </w:p>
    <w:bookmarkEnd w:id="106"/>
    <w:bookmarkStart w:name="z4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107"/>
    <w:bookmarkStart w:name="z47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залога железнодорожного подвижного состава"</w:t>
      </w:r>
    </w:p>
    <w:bookmarkEnd w:id="108"/>
    <w:bookmarkStart w:name="z47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4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залога железнодорожного подвижного состава"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по адресам, указанным в приложении 1 к настоящему стандарту, а также через центры обслуживания населения (далее - ЦОН)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свидетельства о государственной регистрации залога железнодорожного подвижного состава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в уполномоченном органе: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документов 2 рабочих дня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составляет: с физических лиц - 1 месячный расчетный показатель, действующий на дату уплаты сбора; с юридических лиц - 5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в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в соответствии с установленным графиком работы уполномоченного органа с перерывом на обед, согласно приложению 3 к настоящему стандарту,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дней в неделю, за исключением воскресенья и праздничных дней, в соответствии с установленным графиком работы с 9.00 часов до 20.00 часов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и ЦОН ведется Книга жалоб и предложений для физических и юридических лиц.</w:t>
      </w:r>
    </w:p>
    <w:bookmarkEnd w:id="110"/>
    <w:bookmarkStart w:name="z50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1"/>
    <w:bookmarkStart w:name="z5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потребителем или по доверенности его уполномоченным представителем в уполномоченный орган подаются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заявления, который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(для юридического лица) или фамилию, имя, отчество, место жительства (для физического лица) залогодателя и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и место заключения договора о залоге или иного договора, содержащего условия о 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описание имущества, являющегося предметом залога (сведения о предмете залога);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денежный эквивалент обязательства, обеспеченного залогом;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обеспеченного залогом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или его представителя и печать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указание о том, у какой стороны находится заложенное имущество, допустимость его использования и сведения о перезалоге;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заявителя, а представитель лица - документ, подтверждающий его полномочия, а так же документы, удостоверяющие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сбора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о залоге или договор, содержащий условия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залога железнодорожного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-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регистрацию документы, не должны иметь подчистки либо приписки, зачеркнутые слова и иные не 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исполнены карандашом;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указанные в подпункте 2) настоящего пункта,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образца, выдается сотрудником уполномоченного органа, а также в ЦОН находятся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представляются в канцелярию уполномоченного органа по адресам, указанным в приложении 1 к настоящему стандарту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либо через ЦОН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государственной регистрации залога железнодорожного подвижного состава, а также договор о залоге или договор, содержащий условия залога с отметкой о регистрации выдается канцелярией уполномоченного органа потребителю (представителю) залога железнодорожного подвижного состава под личную расписку в реестре выдачи свидетельств залога железнодорожного подвижного состава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потребителю осуществляется инспектором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регистрации залога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о залоге или иной договор, содержащий условия залога,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регистрации залога не соответствует требованиям 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№ 254 "О регистрации залога движимого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заявлением о регистрации залога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отсутствует документ, подтверждающий уплату в бюджет сбора за государственную регистрацию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регистрации залога потребителю в течение 5 рабочих дней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 пунктом 11 настоящего стандарта, и ненадлежащем оформлении документов в течение 1 рабочего дня после получения пакета документов возвращает их в ЦОН или потребителю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документов через ЦОН, сотрудник ЦОН информирует потребителя в течение 1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ЦОН обеспечивает их хранение в течение 1 месяца, после чего передает их в уполномоченный орган.</w:t>
      </w:r>
    </w:p>
    <w:bookmarkEnd w:id="112"/>
    <w:bookmarkStart w:name="z54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13"/>
    <w:bookmarkStart w:name="z5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14"/>
    <w:bookmarkStart w:name="z5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5"/>
    <w:bookmarkStart w:name="z5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 ЦОН измеряются показателями качества и эффективности,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в первом квартале утверждаются приказом Министерства транспорта и коммуникаций Республики Казахстан.</w:t>
      </w:r>
    </w:p>
    <w:bookmarkEnd w:id="116"/>
    <w:bookmarkStart w:name="z5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7"/>
    <w:bookmarkStart w:name="z5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канцелярий уполномоченного органа по телефонам и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имеются претензии по качеству государственной услуги, оказываемой через ЦОН, порядок обжалования действий (бездействия) должностных лиц ЦОН разъясняется сотрудниками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услуги, оказываемой уполномоченным органом, подается на имя Председателя Комитета транспортного контроля Министерства транспорта и коммуникаций Республики Казахстан по адресу: 010000, город Астана, проспект Кабанбай батыра 32/1, адрес электронной почты: ktk@mtc.gov.kz, телефон приемной (7172) 24-27-08.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(9:00 - 18:30), в том числе с перерывом на обед (13:00 - 14:30).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процессу оказания государственной услуги, оказываемой через ЦОН, подается в местный исполнительный орган, в ведении которого находится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уполномоченным органом по адресам, указанным в приложении 1 к настоящему стандарту, а также через ЦОН на альтернативной основе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составляет 5 дней в неделю, в том числе с перерывом на обед,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 по оказанию государственной услуги: 6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при оказании государственной услуги ЦОН, жалоба подается на имя руководителя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Комитета транспортного контроля Министерства транспорта и коммуникаций Республики Казахстан: 24-29-09.</w:t>
      </w:r>
    </w:p>
    <w:bookmarkEnd w:id="118"/>
    <w:bookmarkStart w:name="z5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залога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состава"</w:t>
      </w:r>
    </w:p>
    <w:bookmarkEnd w:id="119"/>
    <w:bookmarkStart w:name="z5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98"/>
        <w:gridCol w:w="3278"/>
        <w:gridCol w:w="3965"/>
      </w:tblGrid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«Батыс» по 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Маресьева 95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ktk_aktb@mtc.gov.kz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Евразии 100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ktk_zko@mtc.gov.kz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ktk_pavl@mtc.gov.kz</w:t>
            </w:r>
          </w:p>
        </w:tc>
      </w:tr>
      <w:tr>
        <w:trPr>
          <w:trHeight w:val="14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 114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vko@mtc.gov.kz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«Жетісу»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Алматы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 alm@mtc.gov.kz</w:t>
            </w:r>
          </w:p>
        </w:tc>
      </w:tr>
      <w:tr>
        <w:trPr>
          <w:trHeight w:val="18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Утеген-батыра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ktk_galm@mtc.gov.kz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«Каспий» по 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10 «А»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ktk_atr@mtc.gov.kz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Атырау»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1 мкр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ktk_mang@mtc.gov.kz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ktk_uko@mtc.gov.kz</w:t>
            </w:r>
          </w:p>
        </w:tc>
      </w:tr>
      <w:tr>
        <w:trPr>
          <w:trHeight w:val="16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 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ktkjamb@mtc.gov.kz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24А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ktk_kzl@mtc.gov.kz</w:t>
            </w:r>
          </w:p>
        </w:tc>
      </w:tr>
      <w:tr>
        <w:trPr>
          <w:trHeight w:val="14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ktk_akm@mtc.gov.kz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«Межрегиональная инспекция транспортного контроля «Солтүстік» по Акмолинской, Костанайской и Северо-Казахстанской областям - в городе Кокшетау» № 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Чехова 105 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ktk_kost@mtc.gov.kz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городе Кокшетау»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ktk_sko@mtc.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«Сарыарқа»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городу Астане»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Гапеева 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ktk_kar@mtc. gov.kz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Акжол 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ktk_ast@mtc.gov.kz</w:t>
            </w:r>
          </w:p>
        </w:tc>
      </w:tr>
    </w:tbl>
    <w:bookmarkStart w:name="z5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залога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состава"</w:t>
      </w:r>
    </w:p>
    <w:bookmarkEnd w:id="121"/>
    <w:bookmarkStart w:name="z5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637"/>
        <w:gridCol w:w="4334"/>
        <w:gridCol w:w="1913"/>
        <w:gridCol w:w="213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25-77-16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д.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24-31-10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2-23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28-31-14 28-40-06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33-55-77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Койгельди, д. 158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51-44-79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 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28-13-12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21-13-11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д. 67 «б»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 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33-47-48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д. 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 кожа, б/н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батыра, д. 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Букеева, д. 128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256-08-69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Алмагуль, д. 9 «а»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д. 155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Маркова, д. 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Рехорда Зорге, д. 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Мирзоян, д. 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Субханбердина, д.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 акына д. 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Сауран, д. 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</w:tbl>
    <w:bookmarkStart w:name="z5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залога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состава"</w:t>
      </w:r>
    </w:p>
    <w:bookmarkEnd w:id="123"/>
    <w:bookmarkStart w:name="z5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работы территориальных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59"/>
        <w:gridCol w:w="5144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 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«Батыс»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и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городе Актобе»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«Epтic»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и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Павлодаре»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Таддыкорган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ч. До 18.00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«Жетісу»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городу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«Каспий»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 Мангистауской областям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Атырау»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ч.-14.00 ч.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«Оңтүстік»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Кызылординской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областям -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8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9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«Оңтүстік» по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Шымкенте»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ч.-15.00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«Солтүстік»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областям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ч.-14.30 ч.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«Солтүстік» по 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- в городе Кокшетау»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«Межрегиональная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«Сарыарқа»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Астане» - в городе Караганде»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ч.-14.00 ч.</w:t>
            </w:r>
          </w:p>
        </w:tc>
      </w:tr>
    </w:tbl>
    <w:bookmarkStart w:name="z5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залога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состава"        </w:t>
      </w:r>
    </w:p>
    <w:bookmarkEnd w:id="125"/>
    <w:bookmarkStart w:name="z5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2551"/>
        <w:gridCol w:w="2840"/>
        <w:gridCol w:w="2366"/>
      </w:tblGrid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15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формате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