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d74a" w14:textId="9dbd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обеспечении информационной безопасности
в рамках общих таможенных процессов в государствах-членах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17 мая 2011 года № 534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об обеспечении информационной безопасности в рамках общих таможенных процессов в государствах-членах Евразийского экономического сообщества.</w:t>
      </w:r>
      <w:r>
        <w:br/>
      </w:r>
      <w:r>
        <w:rPr>
          <w:rFonts w:ascii="Times New Roman"/>
          <w:b w:val="false"/>
          <w:i w:val="false"/>
          <w:color w:val="000000"/>
          <w:sz w:val="28"/>
        </w:rPr>
        <w:t>
      2. Подписать Соглашение об обеспечении информационной безопасности в рамках общих таможенных процессов в государствах-членах Евразийского экономического сообщества.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2011 года № 534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обеспечении информационной безопасности в рамках общих</w:t>
      </w:r>
      <w:r>
        <w:br/>
      </w:r>
      <w:r>
        <w:rPr>
          <w:rFonts w:ascii="Times New Roman"/>
          <w:b/>
          <w:i w:val="false"/>
          <w:color w:val="000000"/>
        </w:rPr>
        <w:t>
таможенных процессов в государствах - членах Евразийского</w:t>
      </w:r>
      <w:r>
        <w:br/>
      </w:r>
      <w:r>
        <w:rPr>
          <w:rFonts w:ascii="Times New Roman"/>
          <w:b/>
          <w:i w:val="false"/>
          <w:color w:val="000000"/>
        </w:rPr>
        <w:t>
экономического сообщества</w:t>
      </w:r>
    </w:p>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именуемые в дальнейшем Сторонами,</w:t>
      </w:r>
      <w:r>
        <w:br/>
      </w:r>
      <w:r>
        <w:rPr>
          <w:rFonts w:ascii="Times New Roman"/>
          <w:b w:val="false"/>
          <w:i w:val="false"/>
          <w:color w:val="000000"/>
          <w:sz w:val="28"/>
        </w:rPr>
        <w:t>
      руководствуясь Протоколом об организации обмена информацией о перемещении товаров и транспортных средств между таможенными органами государств - членов Евразийского экономического сообщества от 19 декабря 2001 года, Соглашением о единых подходах к применению информационных технологий в деятельности таможенных служб государств-членов Евразийского экономического сообщества от 9 июня 2009 года и Соглашением о единых принципах информационного взаимодействия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в целях обеспечения информационной безопасности взаимодействия автоматизированных систем при контроле общих таможенных процессов в государствах-членах Евразийского экономического сообщества,</w:t>
      </w:r>
      <w:r>
        <w:br/>
      </w:r>
      <w:r>
        <w:rPr>
          <w:rFonts w:ascii="Times New Roman"/>
          <w:b w:val="false"/>
          <w:i w:val="false"/>
          <w:color w:val="000000"/>
          <w:sz w:val="28"/>
        </w:rPr>
        <w:t>
      в целях создания условий для ускорения и упрощения перемещения товаров и транспортных средств через территории государств-членов Евразийского экономического сообщества,</w:t>
      </w:r>
      <w:r>
        <w:br/>
      </w:r>
      <w:r>
        <w:rPr>
          <w:rFonts w:ascii="Times New Roman"/>
          <w:b w:val="false"/>
          <w:i w:val="false"/>
          <w:color w:val="000000"/>
          <w:sz w:val="28"/>
        </w:rPr>
        <w:t>
      согласились о нижеследующим: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Для целей настоящего Соглашения используются следующие термины и определения:</w:t>
      </w:r>
      <w:r>
        <w:br/>
      </w:r>
      <w:r>
        <w:rPr>
          <w:rFonts w:ascii="Times New Roman"/>
          <w:b w:val="false"/>
          <w:i w:val="false"/>
          <w:color w:val="000000"/>
          <w:sz w:val="28"/>
        </w:rPr>
        <w:t>
      электронное сообщение - информация, переданная или полученная с использованием информационно-телекоммуникационной сети;</w:t>
      </w:r>
      <w:r>
        <w:br/>
      </w:r>
      <w:r>
        <w:rPr>
          <w:rFonts w:ascii="Times New Roman"/>
          <w:b w:val="false"/>
          <w:i w:val="false"/>
          <w:color w:val="000000"/>
          <w:sz w:val="28"/>
        </w:rPr>
        <w:t>
      информация - сведения о лицах, предметах, фактах, событиях, явлениях и процессах независимо от формы их представления;</w:t>
      </w:r>
      <w:r>
        <w:br/>
      </w:r>
      <w:r>
        <w:rPr>
          <w:rFonts w:ascii="Times New Roman"/>
          <w:b w:val="false"/>
          <w:i w:val="false"/>
          <w:color w:val="000000"/>
          <w:sz w:val="28"/>
        </w:rPr>
        <w:t>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и обеспечивать защиту этой информации от несанкционированного доступа.</w:t>
      </w:r>
      <w:r>
        <w:br/>
      </w:r>
      <w:r>
        <w:rPr>
          <w:rFonts w:ascii="Times New Roman"/>
          <w:b w:val="false"/>
          <w:i w:val="false"/>
          <w:color w:val="000000"/>
          <w:sz w:val="28"/>
        </w:rPr>
        <w:t>
      2. Термины, специально не определенные в настоящем Соглашении, используются в значениях, установленных другими международными договорами, заключенными в рамках Евразийского экономического сообщества.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Информационный обмен электронными сообщениями при контроле общих таможенных процессов в государствах-членах Евразийского экономического сообщества осуществляется с использованием средств, обеспечивающих безопасность передаваемой информации, одобренных к использованию уполномоченными органами государств Сторон.</w:t>
      </w:r>
      <w:r>
        <w:br/>
      </w:r>
      <w:r>
        <w:rPr>
          <w:rFonts w:ascii="Times New Roman"/>
          <w:b w:val="false"/>
          <w:i w:val="false"/>
          <w:color w:val="000000"/>
          <w:sz w:val="28"/>
        </w:rPr>
        <w:t>
      Электронные сообщения не должны содержать информацию, доступ к которой ограничивается в соответствии с национальными законодательствами государств Сторон.</w:t>
      </w:r>
      <w:r>
        <w:br/>
      </w:r>
      <w:r>
        <w:rPr>
          <w:rFonts w:ascii="Times New Roman"/>
          <w:b w:val="false"/>
          <w:i w:val="false"/>
          <w:color w:val="000000"/>
          <w:sz w:val="28"/>
        </w:rPr>
        <w:t>
      Полученная в процессе информационного обмена информация используется исключительно в таможенных целях.</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Таможенные службы государств Сторон самостоятельно в соответствии с национальным законодательством своего государства принимают меры по защите информации, передаваемой в процессе информационного обмена, в своих автоматизированных информационных системах. Принятые меры должны обеспечивать:</w:t>
      </w:r>
      <w:r>
        <w:br/>
      </w:r>
      <w:r>
        <w:rPr>
          <w:rFonts w:ascii="Times New Roman"/>
          <w:b w:val="false"/>
          <w:i w:val="false"/>
          <w:color w:val="000000"/>
          <w:sz w:val="28"/>
        </w:rPr>
        <w:t>
      защиту информационно-вычислительных ресурсов от заражения программными (компьютерными) вирусами;</w:t>
      </w:r>
      <w:r>
        <w:br/>
      </w:r>
      <w:r>
        <w:rPr>
          <w:rFonts w:ascii="Times New Roman"/>
          <w:b w:val="false"/>
          <w:i w:val="false"/>
          <w:color w:val="000000"/>
          <w:sz w:val="28"/>
        </w:rPr>
        <w:t>
      защиту от несанкционированного доступа к средствам вычислительной техники и телекоммуникационному оборудованию, задействованным при информационном обмене;</w:t>
      </w:r>
      <w:r>
        <w:br/>
      </w:r>
      <w:r>
        <w:rPr>
          <w:rFonts w:ascii="Times New Roman"/>
          <w:b w:val="false"/>
          <w:i w:val="false"/>
          <w:color w:val="000000"/>
          <w:sz w:val="28"/>
        </w:rPr>
        <w:t>
      защиту от несанкционированного доступа к информации, полученной при информационном обмене электронными сообщениями;</w:t>
      </w:r>
      <w:r>
        <w:br/>
      </w:r>
      <w:r>
        <w:rPr>
          <w:rFonts w:ascii="Times New Roman"/>
          <w:b w:val="false"/>
          <w:i w:val="false"/>
          <w:color w:val="000000"/>
          <w:sz w:val="28"/>
        </w:rPr>
        <w:t>
      обеспечение сетевой безопасности при межсетевом взаимодействии как в собственных автоматизированных информационных системах, так и при информационном обмене;</w:t>
      </w:r>
      <w:r>
        <w:br/>
      </w:r>
      <w:r>
        <w:rPr>
          <w:rFonts w:ascii="Times New Roman"/>
          <w:b w:val="false"/>
          <w:i w:val="false"/>
          <w:color w:val="000000"/>
          <w:sz w:val="28"/>
        </w:rPr>
        <w:t>
      целостность, доступность и конфиденциальность информации при ее обработке и передаче в собственных автоматизированных информационных системах;</w:t>
      </w:r>
      <w:r>
        <w:br/>
      </w:r>
      <w:r>
        <w:rPr>
          <w:rFonts w:ascii="Times New Roman"/>
          <w:b w:val="false"/>
          <w:i w:val="false"/>
          <w:color w:val="000000"/>
          <w:sz w:val="28"/>
        </w:rPr>
        <w:t>
      обнаружение атак и анализ защищенности.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Непосредственный информационный обмен электронными сообщениями осуществляется между таможенными службами государств Сторон с использованием систем, обеспечивающих гарантированную доставку электронных сообщений и защиту передаваемых данных на транспортном уровне.</w:t>
      </w:r>
      <w:r>
        <w:br/>
      </w:r>
      <w:r>
        <w:rPr>
          <w:rFonts w:ascii="Times New Roman"/>
          <w:b w:val="false"/>
          <w:i w:val="false"/>
          <w:color w:val="000000"/>
          <w:sz w:val="28"/>
        </w:rPr>
        <w:t>
      Состав, формат, структура передаваемой информации, а также регламент ее передачи таможенные службы государств Сторон согласовывают на двусторонней и многосторонней основе.</w:t>
      </w:r>
      <w:r>
        <w:br/>
      </w:r>
      <w:r>
        <w:rPr>
          <w:rFonts w:ascii="Times New Roman"/>
          <w:b w:val="false"/>
          <w:i w:val="false"/>
          <w:color w:val="000000"/>
          <w:sz w:val="28"/>
        </w:rPr>
        <w:t>
      Требования к вычислительной технике, программным средствам и средствам связи, необходимым для обеспечения информационного взаимодействия в соответствии с настоящим Соглашением, определяются техническими условиями информационного взаимодействия между таможенными службами государств Сторон и международными стандартами.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К информационному взаимодействию при контроле общих таможенных процессов в государствах-членах Евразийского экономического сообщества не предъявляются требования:</w:t>
      </w:r>
      <w:r>
        <w:br/>
      </w:r>
      <w:r>
        <w:rPr>
          <w:rFonts w:ascii="Times New Roman"/>
          <w:b w:val="false"/>
          <w:i w:val="false"/>
          <w:color w:val="000000"/>
          <w:sz w:val="28"/>
        </w:rPr>
        <w:t>
      по обеспечению юридической значимости получаемых в результате информационного обмена электронных сообщений;</w:t>
      </w:r>
      <w:r>
        <w:br/>
      </w:r>
      <w:r>
        <w:rPr>
          <w:rFonts w:ascii="Times New Roman"/>
          <w:b w:val="false"/>
          <w:i w:val="false"/>
          <w:color w:val="000000"/>
          <w:sz w:val="28"/>
        </w:rPr>
        <w:t>
      по использованию электронной цифровой подписи при информационном обмене электронными сообщениями.</w:t>
      </w:r>
      <w:r>
        <w:br/>
      </w:r>
      <w:r>
        <w:rPr>
          <w:rFonts w:ascii="Times New Roman"/>
          <w:b w:val="false"/>
          <w:i w:val="false"/>
          <w:color w:val="000000"/>
          <w:sz w:val="28"/>
        </w:rPr>
        <w:t>
      Стороны могут заключать дополнительные международные договоры на двусторонней и многосторонней основе с целью придания юридической значимости передаваемым электронным сообщениям и об использовании электронной цифровой подписи электронных сообщений в соответствии с национальными законодательствами государств Сторон.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Таможенные службы государств Сторон самостоятельно обеспечивают оснащение, настройку, эксплуатацию, управление и мониторинг средств защиты информации, используемых при информационном взаимодействии.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Положения настоящего Соглашения не ограничивают таможенные службы государств Сторон в применении иных, дополнительных форм и методов защиты информации при информационном взаимодействии автоматизированных систем при контроле общих таможенных процессов в государствах-членах Евразийского экономического сообщества в собственных автоматизированных информационных системах.</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После вступления в силу настоящее Соглашение открыто для присоединения к нему других государств, вступивших в Евразийское экономическое сообщество. Документы о присоединении к настоящему Соглашению сдаются на хранение депозитарию.</w:t>
      </w:r>
      <w:r>
        <w:br/>
      </w:r>
      <w:r>
        <w:rPr>
          <w:rFonts w:ascii="Times New Roman"/>
          <w:b w:val="false"/>
          <w:i w:val="false"/>
          <w:color w:val="000000"/>
          <w:sz w:val="28"/>
        </w:rPr>
        <w:t>
      В отношении присоединившихся государств настоящее Соглашение вступает в силу с даты получения депозитарием документа о присоединении.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его неотъемлемыми частями.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своем таком намерении не менее чем за шесть месяцев до предполагаемой даты выхода, предварительно урегулировав свои обязательства, принятые в соответствии с настоящим Соглашением.</w:t>
      </w:r>
      <w:r>
        <w:br/>
      </w:r>
      <w:r>
        <w:rPr>
          <w:rFonts w:ascii="Times New Roman"/>
          <w:b w:val="false"/>
          <w:i w:val="false"/>
          <w:color w:val="000000"/>
          <w:sz w:val="28"/>
        </w:rPr>
        <w:t>
      Обязательства по защите информации, полученной в соответствии с настоящим Соглашением, остаются в силе независимо от прекращения его действия или выхода какой-либо Стороны из него.</w:t>
      </w:r>
    </w:p>
    <w:p>
      <w:pPr>
        <w:spacing w:after="0"/>
        <w:ind w:left="0"/>
        <w:jc w:val="both"/>
      </w:pPr>
      <w:r>
        <w:rPr>
          <w:rFonts w:ascii="Times New Roman"/>
          <w:b w:val="false"/>
          <w:i w:val="false"/>
          <w:color w:val="000000"/>
          <w:sz w:val="28"/>
        </w:rPr>
        <w:t>      Совершено в городе __________ "__" ________ 2011 года в одном подлинном экземпляре на русском языке.</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 который являясь депозитарием, направит Сторонам его заверенную копию.</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Кыргызской  Казахстан Республики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Российской                Республики</w:t>
      </w:r>
      <w:r>
        <w:br/>
      </w:r>
      <w:r>
        <w:rPr>
          <w:rFonts w:ascii="Times New Roman"/>
          <w:b w:val="false"/>
          <w:i w:val="false"/>
          <w:color w:val="000000"/>
          <w:sz w:val="28"/>
        </w:rPr>
        <w:t>
</w:t>
      </w:r>
      <w:r>
        <w:rPr>
          <w:rFonts w:ascii="Times New Roman"/>
          <w:b w:val="false"/>
          <w:i/>
          <w:color w:val="000000"/>
          <w:sz w:val="28"/>
        </w:rPr>
        <w:t>                  Федерации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