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2dcb" w14:textId="b142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w:t>
      </w:r>
    </w:p>
    <w:p>
      <w:pPr>
        <w:spacing w:after="0"/>
        <w:ind w:left="0"/>
        <w:jc w:val="both"/>
      </w:pPr>
      <w:r>
        <w:rPr>
          <w:rFonts w:ascii="Times New Roman"/>
          <w:b w:val="false"/>
          <w:i w:val="false"/>
          <w:color w:val="000000"/>
          <w:sz w:val="28"/>
        </w:rPr>
        <w:t>Постановление Правительства Республики Казахстан от 31 мая 2011 года № 605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развитии в Евразийском экономическом</w:t>
      </w:r>
      <w:r>
        <w:br/>
      </w:r>
      <w:r>
        <w:rPr>
          <w:rFonts w:ascii="Times New Roman"/>
          <w:b/>
          <w:i w:val="false"/>
          <w:color w:val="000000"/>
        </w:rPr>
        <w:t>
сообществе международного лизинга сельскохозяйственной техники,</w:t>
      </w:r>
      <w:r>
        <w:br/>
      </w:r>
      <w:r>
        <w:rPr>
          <w:rFonts w:ascii="Times New Roman"/>
          <w:b/>
          <w:i w:val="false"/>
          <w:color w:val="000000"/>
        </w:rPr>
        <w:t>
машин, механизмов, оборудования и транспортных средств,</w:t>
      </w:r>
      <w:r>
        <w:br/>
      </w:r>
      <w:r>
        <w:rPr>
          <w:rFonts w:ascii="Times New Roman"/>
          <w:b/>
          <w:i w:val="false"/>
          <w:color w:val="000000"/>
        </w:rPr>
        <w:t>
используемых в агропромышленных комплексах</w:t>
      </w:r>
    </w:p>
    <w:p>
      <w:pPr>
        <w:spacing w:after="0"/>
        <w:ind w:left="0"/>
        <w:jc w:val="both"/>
      </w:pPr>
      <w:r>
        <w:rPr>
          <w:rFonts w:ascii="Times New Roman"/>
          <w:b w:val="false"/>
          <w:i w:val="false"/>
          <w:color w:val="000000"/>
          <w:sz w:val="28"/>
        </w:rPr>
        <w:t>      Ратифицировать Соглашение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совершенное в Санкт-Петербурге 21 мая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развитии в Евразийском экономическом сообществе</w:t>
      </w:r>
      <w:r>
        <w:br/>
      </w:r>
      <w:r>
        <w:rPr>
          <w:rFonts w:ascii="Times New Roman"/>
          <w:b/>
          <w:i w:val="false"/>
          <w:color w:val="000000"/>
        </w:rPr>
        <w:t>
международного лизинга сельскохозяйственной техники,</w:t>
      </w:r>
      <w:r>
        <w:br/>
      </w:r>
      <w:r>
        <w:rPr>
          <w:rFonts w:ascii="Times New Roman"/>
          <w:b/>
          <w:i w:val="false"/>
          <w:color w:val="000000"/>
        </w:rPr>
        <w:t>
машин, механизмов, оборудования и транспортных средств,</w:t>
      </w:r>
      <w:r>
        <w:br/>
      </w:r>
      <w:r>
        <w:rPr>
          <w:rFonts w:ascii="Times New Roman"/>
          <w:b/>
          <w:i w:val="false"/>
          <w:color w:val="000000"/>
        </w:rPr>
        <w:t>
используемых в агропромышленных комплексах</w:t>
      </w:r>
    </w:p>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именуемые в дальнейшем Сторонами,</w:t>
      </w:r>
      <w:r>
        <w:br/>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 и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 (далее - ЕврАзЭС или Сообщество),</w:t>
      </w:r>
      <w:r>
        <w:br/>
      </w:r>
      <w:r>
        <w:rPr>
          <w:rFonts w:ascii="Times New Roman"/>
          <w:b w:val="false"/>
          <w:i w:val="false"/>
          <w:color w:val="000000"/>
          <w:sz w:val="28"/>
        </w:rPr>
        <w:t>
      руководствуясь Концепцией агропромышленной политики государств-членов ЕврАзЭС, утвержденной Решением Межгосударственного Совета ЕврАзЭС от 24 марта 2005 г. № 204,</w:t>
      </w:r>
      <w:r>
        <w:br/>
      </w:r>
      <w:r>
        <w:rPr>
          <w:rFonts w:ascii="Times New Roman"/>
          <w:b w:val="false"/>
          <w:i w:val="false"/>
          <w:color w:val="000000"/>
          <w:sz w:val="28"/>
        </w:rPr>
        <w:t>
      стремясь к проведению согласованной политики в целях:</w:t>
      </w:r>
      <w:r>
        <w:br/>
      </w:r>
      <w:r>
        <w:rPr>
          <w:rFonts w:ascii="Times New Roman"/>
          <w:b w:val="false"/>
          <w:i w:val="false"/>
          <w:color w:val="000000"/>
          <w:sz w:val="28"/>
        </w:rPr>
        <w:t>
      повышения уровня технической оснащенности агропромышленных комплексов государств Сообщества;</w:t>
      </w:r>
      <w:r>
        <w:br/>
      </w:r>
      <w:r>
        <w:rPr>
          <w:rFonts w:ascii="Times New Roman"/>
          <w:b w:val="false"/>
          <w:i w:val="false"/>
          <w:color w:val="000000"/>
          <w:sz w:val="28"/>
        </w:rPr>
        <w:t>
      развития производства сельскохозяйственной техники, машин, механизмов, оборудования и транспортных средств, используемых в агропромышленных комплексах государств-членов ЕврАзЭС;</w:t>
      </w:r>
      <w:r>
        <w:br/>
      </w:r>
      <w:r>
        <w:rPr>
          <w:rFonts w:ascii="Times New Roman"/>
          <w:b w:val="false"/>
          <w:i w:val="false"/>
          <w:color w:val="000000"/>
          <w:sz w:val="28"/>
        </w:rPr>
        <w:t>
      развития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и производимых в государствах - членах ЕврАзЭС;</w:t>
      </w:r>
      <w:r>
        <w:br/>
      </w:r>
      <w:r>
        <w:rPr>
          <w:rFonts w:ascii="Times New Roman"/>
          <w:b w:val="false"/>
          <w:i w:val="false"/>
          <w:color w:val="000000"/>
          <w:sz w:val="28"/>
        </w:rPr>
        <w:t>
      повышения конкурентоспособности сельскохозяйственного машиностроения в государствах Сообщества;</w:t>
      </w:r>
      <w:r>
        <w:br/>
      </w:r>
      <w:r>
        <w:rPr>
          <w:rFonts w:ascii="Times New Roman"/>
          <w:b w:val="false"/>
          <w:i w:val="false"/>
          <w:color w:val="000000"/>
          <w:sz w:val="28"/>
        </w:rPr>
        <w:t>
      увеличения объемов производства основных видов сельскохозяйственной продукции для обеспечения продовольственной безопасности государств-членов ЕврАзЭС и Сообщества в целом;</w:t>
      </w:r>
      <w:r>
        <w:br/>
      </w:r>
      <w:r>
        <w:rPr>
          <w:rFonts w:ascii="Times New Roman"/>
          <w:b w:val="false"/>
          <w:i w:val="false"/>
          <w:color w:val="000000"/>
          <w:sz w:val="28"/>
        </w:rPr>
        <w:t>
      формирования в Сообществе механизмов защиты прав и интересов субъектов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и производимых в государствах - членах ЕврАзЭС;</w:t>
      </w:r>
      <w:r>
        <w:br/>
      </w:r>
      <w:r>
        <w:rPr>
          <w:rFonts w:ascii="Times New Roman"/>
          <w:b w:val="false"/>
          <w:i w:val="false"/>
          <w:color w:val="000000"/>
          <w:sz w:val="28"/>
        </w:rPr>
        <w:t>
      привлечения инвестиций в агропромышленные комплексы государств Сообщества,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r>
        <w:br/>
      </w:r>
      <w:r>
        <w:rPr>
          <w:rFonts w:ascii="Times New Roman"/>
          <w:b w:val="false"/>
          <w:i w:val="false"/>
          <w:color w:val="000000"/>
          <w:sz w:val="28"/>
        </w:rPr>
        <w:t>
      </w:t>
      </w:r>
      <w:r>
        <w:rPr>
          <w:rFonts w:ascii="Times New Roman"/>
          <w:b w:val="false"/>
          <w:i/>
          <w:color w:val="000000"/>
          <w:sz w:val="28"/>
        </w:rPr>
        <w:t>договор лизинга</w:t>
      </w:r>
      <w:r>
        <w:rPr>
          <w:rFonts w:ascii="Times New Roman"/>
          <w:b w:val="false"/>
          <w:i w:val="false"/>
          <w:color w:val="000000"/>
          <w:sz w:val="28"/>
        </w:rPr>
        <w:t> - договор, в соответствии с которым лизингодатель обязуется приобрести в собственность указанный лизингополучателем предмет лизинга у определенного лизингополучателем продавца (поставщика) и предоставить лизингополучателю этот предмет за плату на определенных договором условиях во временное владение и пользование. Договором лизинга может быть предусмотрено, что выбор продавца (поставщика) и предмета лизинга осуществляется лизингодателем;</w:t>
      </w:r>
      <w:r>
        <w:br/>
      </w:r>
      <w:r>
        <w:rPr>
          <w:rFonts w:ascii="Times New Roman"/>
          <w:b w:val="false"/>
          <w:i w:val="false"/>
          <w:color w:val="000000"/>
          <w:sz w:val="28"/>
        </w:rPr>
        <w:t>
      </w:t>
      </w:r>
      <w:r>
        <w:rPr>
          <w:rFonts w:ascii="Times New Roman"/>
          <w:b w:val="false"/>
          <w:i/>
          <w:color w:val="000000"/>
          <w:sz w:val="28"/>
        </w:rPr>
        <w:t>лизинг</w:t>
      </w:r>
      <w:r>
        <w:rPr>
          <w:rFonts w:ascii="Times New Roman"/>
          <w:b w:val="false"/>
          <w:i/>
          <w:color w:val="000000"/>
          <w:sz w:val="28"/>
        </w:rPr>
        <w:t xml:space="preserve"> - </w:t>
      </w:r>
      <w:r>
        <w:rPr>
          <w:rFonts w:ascii="Times New Roman"/>
          <w:b w:val="false"/>
          <w:i w:val="false"/>
          <w:color w:val="000000"/>
          <w:sz w:val="28"/>
        </w:rPr>
        <w:t>совокупность экономических и правовых отношений, возникающих в связи с реализацией договора лизинга, в том числе приобретением предмета лизинга;</w:t>
      </w:r>
      <w:r>
        <w:br/>
      </w:r>
      <w:r>
        <w:rPr>
          <w:rFonts w:ascii="Times New Roman"/>
          <w:b w:val="false"/>
          <w:i w:val="false"/>
          <w:color w:val="000000"/>
          <w:sz w:val="28"/>
        </w:rPr>
        <w:t>
      </w:t>
      </w:r>
      <w:r>
        <w:rPr>
          <w:rFonts w:ascii="Times New Roman"/>
          <w:b w:val="false"/>
          <w:i/>
          <w:color w:val="000000"/>
          <w:sz w:val="28"/>
        </w:rPr>
        <w:t>сублизинг</w:t>
      </w:r>
      <w:r>
        <w:rPr>
          <w:rFonts w:ascii="Times New Roman"/>
          <w:b w:val="false"/>
          <w:i w:val="false"/>
          <w:color w:val="000000"/>
          <w:sz w:val="28"/>
        </w:rPr>
        <w:t> - вид договора лизинга, при котором лизингополучатель передает третьему лицу (сублизингополучателю по договору сублизинга) во владение и пользование на определенный срок за плату в соответствии с условиями договора сублизинга имущество, полученное от лизингодателя по договору лизинга и составляющее предмет лизинга. При этом лизингополучатель по договору лизинга, приобретая по отношению к сублизингополучателю по договору сублизинга права лизингодателя в порядке и с учетом условий, установленных законодательством государств Сторон и договором, не освобождается от предусмотренных договором лизинга обязательств и ответственности перед лизингодателем;</w:t>
      </w:r>
      <w:r>
        <w:br/>
      </w:r>
      <w:r>
        <w:rPr>
          <w:rFonts w:ascii="Times New Roman"/>
          <w:b w:val="false"/>
          <w:i w:val="false"/>
          <w:color w:val="000000"/>
          <w:sz w:val="28"/>
        </w:rPr>
        <w:t>
      </w:t>
      </w:r>
      <w:r>
        <w:rPr>
          <w:rFonts w:ascii="Times New Roman"/>
          <w:b w:val="false"/>
          <w:i/>
          <w:color w:val="000000"/>
          <w:sz w:val="28"/>
        </w:rPr>
        <w:t>лизинговая деятельность</w:t>
      </w:r>
      <w:r>
        <w:rPr>
          <w:rFonts w:ascii="Times New Roman"/>
          <w:b w:val="false"/>
          <w:i/>
          <w:color w:val="000000"/>
          <w:sz w:val="28"/>
        </w:rPr>
        <w:t xml:space="preserve"> - </w:t>
      </w:r>
      <w:r>
        <w:rPr>
          <w:rFonts w:ascii="Times New Roman"/>
          <w:b w:val="false"/>
          <w:i w:val="false"/>
          <w:color w:val="000000"/>
          <w:sz w:val="28"/>
        </w:rPr>
        <w:t>вид инвестиционной/предпринимательской деятельности, связанной с вложением собственных и/или привлеченных средств лизингодателя (инвестиций) для приобретения предмета лизинга и передачи его лизингополучателю по договору лизинга;</w:t>
      </w:r>
      <w:r>
        <w:br/>
      </w:r>
      <w:r>
        <w:rPr>
          <w:rFonts w:ascii="Times New Roman"/>
          <w:b w:val="false"/>
          <w:i w:val="false"/>
          <w:color w:val="000000"/>
          <w:sz w:val="28"/>
        </w:rPr>
        <w:t>
      </w:t>
      </w:r>
      <w:r>
        <w:rPr>
          <w:rFonts w:ascii="Times New Roman"/>
          <w:b w:val="false"/>
          <w:i/>
          <w:color w:val="000000"/>
          <w:sz w:val="28"/>
        </w:rPr>
        <w:t>лизингодатель</w:t>
      </w:r>
      <w:r>
        <w:rPr>
          <w:rFonts w:ascii="Times New Roman"/>
          <w:b w:val="false"/>
          <w:i/>
          <w:color w:val="000000"/>
          <w:sz w:val="28"/>
        </w:rPr>
        <w:t xml:space="preserve"> - </w:t>
      </w:r>
      <w:r>
        <w:rPr>
          <w:rFonts w:ascii="Times New Roman"/>
          <w:b w:val="false"/>
          <w:i w:val="false"/>
          <w:color w:val="000000"/>
          <w:sz w:val="28"/>
        </w:rPr>
        <w:t>физическое (если предусмотрено законодательством государств Сторон) или юридическое лицо, которое приобретает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договором лизинга условиях во временное владение и пользование с переходом или без перехода к лизингополучателю права собственности на предмет лизинга по окончании договора лизинга;</w:t>
      </w:r>
      <w:r>
        <w:br/>
      </w:r>
      <w:r>
        <w:rPr>
          <w:rFonts w:ascii="Times New Roman"/>
          <w:b w:val="false"/>
          <w:i w:val="false"/>
          <w:color w:val="000000"/>
          <w:sz w:val="28"/>
        </w:rPr>
        <w:t>
</w:t>
      </w:r>
      <w:r>
        <w:rPr>
          <w:rFonts w:ascii="Times New Roman"/>
          <w:b w:val="false"/>
          <w:i/>
          <w:color w:val="000000"/>
          <w:sz w:val="28"/>
        </w:rPr>
        <w:t>      лизингополучатель</w:t>
      </w:r>
      <w:r>
        <w:rPr>
          <w:rFonts w:ascii="Times New Roman"/>
          <w:b w:val="false"/>
          <w:i w:val="false"/>
          <w:color w:val="000000"/>
          <w:sz w:val="28"/>
        </w:rPr>
        <w:t> - физическое или юридическое лицо, которое обязуется принять предмет лизинга за определенную плату, на определенный срок и на определенных договором лизинга условиях во временное владение и пользование;</w:t>
      </w:r>
      <w:r>
        <w:br/>
      </w:r>
      <w:r>
        <w:rPr>
          <w:rFonts w:ascii="Times New Roman"/>
          <w:b w:val="false"/>
          <w:i w:val="false"/>
          <w:color w:val="000000"/>
          <w:sz w:val="28"/>
        </w:rPr>
        <w:t>
</w:t>
      </w:r>
      <w:r>
        <w:rPr>
          <w:rFonts w:ascii="Times New Roman"/>
          <w:b w:val="false"/>
          <w:i/>
          <w:color w:val="000000"/>
          <w:sz w:val="28"/>
        </w:rPr>
        <w:t>      резидент</w:t>
      </w:r>
      <w:r>
        <w:rPr>
          <w:rFonts w:ascii="Times New Roman"/>
          <w:b w:val="false"/>
          <w:i/>
          <w:color w:val="000000"/>
          <w:sz w:val="28"/>
        </w:rPr>
        <w:t xml:space="preserve"> - </w:t>
      </w:r>
      <w:r>
        <w:rPr>
          <w:rFonts w:ascii="Times New Roman"/>
          <w:b w:val="false"/>
          <w:i w:val="false"/>
          <w:color w:val="000000"/>
          <w:sz w:val="28"/>
        </w:rPr>
        <w:t>физическое или юридическое лицо, обладающее статусом резидента в соответствии с законодательством государств Сторон;</w:t>
      </w:r>
      <w:r>
        <w:br/>
      </w:r>
      <w:r>
        <w:rPr>
          <w:rFonts w:ascii="Times New Roman"/>
          <w:b w:val="false"/>
          <w:i w:val="false"/>
          <w:color w:val="000000"/>
          <w:sz w:val="28"/>
        </w:rPr>
        <w:t>
</w:t>
      </w:r>
      <w:r>
        <w:rPr>
          <w:rFonts w:ascii="Times New Roman"/>
          <w:b w:val="false"/>
          <w:i/>
          <w:color w:val="000000"/>
          <w:sz w:val="28"/>
        </w:rPr>
        <w:t>      нерезидент</w:t>
      </w:r>
      <w:r>
        <w:rPr>
          <w:rFonts w:ascii="Times New Roman"/>
          <w:b w:val="false"/>
          <w:i w:val="false"/>
          <w:color w:val="000000"/>
          <w:sz w:val="28"/>
        </w:rPr>
        <w:t> - физическое или юридическое лицо, не обладающее статусом резидента в соответствии с законодательством государств Сторон;</w:t>
      </w:r>
      <w:r>
        <w:br/>
      </w:r>
      <w:r>
        <w:rPr>
          <w:rFonts w:ascii="Times New Roman"/>
          <w:b w:val="false"/>
          <w:i w:val="false"/>
          <w:color w:val="000000"/>
          <w:sz w:val="28"/>
        </w:rPr>
        <w:t>
</w:t>
      </w:r>
      <w:r>
        <w:rPr>
          <w:rFonts w:ascii="Times New Roman"/>
          <w:b w:val="false"/>
          <w:i/>
          <w:color w:val="000000"/>
          <w:sz w:val="28"/>
        </w:rPr>
        <w:t>      международный лизинг</w:t>
      </w:r>
      <w:r>
        <w:rPr>
          <w:rFonts w:ascii="Times New Roman"/>
          <w:b w:val="false"/>
          <w:i w:val="false"/>
          <w:color w:val="000000"/>
          <w:sz w:val="28"/>
        </w:rPr>
        <w:t> - вид лизинга, связанный с реализацией договора лизинга, в котором лизингодатель и лизингополучатель являются резидентами разных государств Сторон;</w:t>
      </w:r>
      <w:r>
        <w:br/>
      </w:r>
      <w:r>
        <w:rPr>
          <w:rFonts w:ascii="Times New Roman"/>
          <w:b w:val="false"/>
          <w:i w:val="false"/>
          <w:color w:val="000000"/>
          <w:sz w:val="28"/>
        </w:rPr>
        <w:t>
      </w:t>
      </w:r>
      <w:r>
        <w:rPr>
          <w:rFonts w:ascii="Times New Roman"/>
          <w:b w:val="false"/>
          <w:i/>
          <w:color w:val="000000"/>
          <w:sz w:val="28"/>
        </w:rPr>
        <w:t>предмет лизинга</w:t>
      </w:r>
      <w:r>
        <w:rPr>
          <w:rFonts w:ascii="Times New Roman"/>
          <w:b w:val="false"/>
          <w:i w:val="false"/>
          <w:color w:val="000000"/>
          <w:sz w:val="28"/>
        </w:rPr>
        <w:t> - любые виды сельскохозяйственной техники, машин, механизмов, оборудования и транспортных средств, используемые в агропромышленных комплексах государств-членов ЕврАзЭС;</w:t>
      </w:r>
      <w:r>
        <w:br/>
      </w:r>
      <w:r>
        <w:rPr>
          <w:rFonts w:ascii="Times New Roman"/>
          <w:b w:val="false"/>
          <w:i w:val="false"/>
          <w:color w:val="000000"/>
          <w:sz w:val="28"/>
        </w:rPr>
        <w:t>
      </w:t>
      </w:r>
      <w:r>
        <w:rPr>
          <w:rFonts w:ascii="Times New Roman"/>
          <w:b w:val="false"/>
          <w:i/>
          <w:color w:val="000000"/>
          <w:sz w:val="28"/>
        </w:rPr>
        <w:t>продавец (поставщик)</w:t>
      </w:r>
      <w:r>
        <w:rPr>
          <w:rFonts w:ascii="Times New Roman"/>
          <w:b w:val="false"/>
          <w:i w:val="false"/>
          <w:color w:val="000000"/>
          <w:sz w:val="28"/>
        </w:rPr>
        <w:t> - физическое или юридическое лицо, которое в соответствии с условиями договора купли-продажи (поставки), заключенного с лизингодателем, передает в собственность лизингодателю в обусловленный срок имущество, являющееся предметом лизинга. Продавец (поставщик) может одновременно выступать в качестве лизингополучателя в пределах одного лизингового правоотношения.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Устанавливаемые настоящим Соглашением условия применяются Сторонами для развития международного лизинга (сублизинга) сельскохозяйственной техники, машин, механизмов, оборудования и транспортных средств, используемых в агропромышленных комплексах государств-членов ЕврАзЭС.</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Субъектам международного лизинга Стороны гарантируют на территории своих государств защиту прав и интересов, которая обеспечивается нормами международного права и законодательством государств Сторон.</w:t>
      </w:r>
      <w:r>
        <w:br/>
      </w:r>
      <w:r>
        <w:rPr>
          <w:rFonts w:ascii="Times New Roman"/>
          <w:b w:val="false"/>
          <w:i w:val="false"/>
          <w:color w:val="000000"/>
          <w:sz w:val="28"/>
        </w:rPr>
        <w:t>
      Стороны в соответствии с законодательством своих государств обеспечивают неприкосновенность собственности (предметов международного лизинга) и поощряют в рамках, предусмотренных законодательством своих государств, мобилизацию средств коммерческих структур, банков и иных финансовых организаций для развития международного лизинга.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Каждая из Сторон в соответствии с законодательством своего государства в случае необходимости может принимать решение о выделении своим резидентам-лизингополучателям бюджетных средств на возмещение части затрат на уплату лизинговых платежей по договорам международного лизинга. Порядок предоставления бюджетных средств на возмещение части затрат на уплату лизинговых платежей по договорам международного лизинга определяется Стороной.</w:t>
      </w:r>
      <w:r>
        <w:br/>
      </w:r>
      <w:r>
        <w:rPr>
          <w:rFonts w:ascii="Times New Roman"/>
          <w:b w:val="false"/>
          <w:i w:val="false"/>
          <w:color w:val="000000"/>
          <w:sz w:val="28"/>
        </w:rPr>
        <w:t>
      Страна происхождения предмета лизинга не может являться единственным или одним из нескольких условий для принятия Стороной решения о выделении своим резидентам-лизингополучателям бюджетных средств на возмещение части затрат на уплату лизинговых платежей по договорам международного лизинга.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Стороны содействуют в рамках, предусмотренных законодательством государств Сторон, лизингодателям (лизингополучателям) в создании и развитии сервисных центров, предоставляющих хозяйствующим субъектам государств-членов ЕврАзЭС услуги по обслуживанию и ремонту сельскохозяйственной техники, машин, механизмов, оборудования и транспортных средств', поставляемых по договорам международного лизинга.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этим договором. Стороны, выступающие в качестве страхователя и выгодоприобретателя, а также период страхования предмета лизинга определяются договором лизинга.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которые оформляются отдельными протоколами.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Если спор не будет урегулирован таким образом в течение шести месяцев с даты официальной письменной просьбы о проведении консультаций и/или переговоров, направленной одной из Сторон другой Стороне, то, при отсутствии иной договоренности между ними относительно способа его разрешения, любая из Сторон спора может передать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После вступления в силу настоящее Соглашение открыто для присоединения других государств, принятых в члены ЕврАзЭС. Документы о присоединении к настоящему Соглашению сдаются на хранение депозитарию.</w:t>
      </w:r>
      <w:r>
        <w:br/>
      </w:r>
      <w:r>
        <w:rPr>
          <w:rFonts w:ascii="Times New Roman"/>
          <w:b w:val="false"/>
          <w:i w:val="false"/>
          <w:color w:val="000000"/>
          <w:sz w:val="28"/>
        </w:rPr>
        <w:t>
      В отношении присоединившихся государств настоящее Соглашение вступает в силу с даты получения депозитарием документа о присоединении.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истечения соответствующего пятилетнего периода его действия.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Настоящее Соглашение действует в течение 5 лет с даты его вступления в силу. По истечении этого срока действие Соглашения автоматически продлевается на последующие пятилетние периоды, если Стороны не примут иного решения.</w:t>
      </w:r>
      <w:r>
        <w:br/>
      </w:r>
      <w:r>
        <w:rPr>
          <w:rFonts w:ascii="Times New Roman"/>
          <w:b w:val="false"/>
          <w:i w:val="false"/>
          <w:color w:val="000000"/>
          <w:sz w:val="28"/>
        </w:rPr>
        <w:t>
      Совершено в г. Санкт-Петербург 21 мая 2010 года в единственном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ЕврАзЭС, который направит подписавшим Сторонам его заверенную копию.</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