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9dba2" w14:textId="059db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обеспечения авиационными горюче-смазочными материалами гражданских воздушных судов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июня 2011 года № 727. Утратило силу постановлением Правительства Республики Казахстан от 29 декабря 2016 года № 901.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29.12.2016 </w:t>
      </w:r>
      <w:r>
        <w:rPr>
          <w:rFonts w:ascii="Times New Roman"/>
          <w:b w:val="false"/>
          <w:i w:val="false"/>
          <w:color w:val="ff0000"/>
          <w:sz w:val="28"/>
        </w:rPr>
        <w:t>№ 901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по инвестициям и развитию Республики Казахстан от 24 февраля 2015 года № 190.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15 июля 2010 года "Об использовании воздушного пространства Республики Казахстан и деятельности авиации"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авиационными горюче-смазочными материалами гражданских воздушных судов.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июня 2011 года № 727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обеспечения авиационными горюче-смазочными материалами</w:t>
      </w:r>
      <w:r>
        <w:br/>
      </w:r>
      <w:r>
        <w:rPr>
          <w:rFonts w:ascii="Times New Roman"/>
          <w:b/>
          <w:i w:val="false"/>
          <w:color w:val="000000"/>
        </w:rPr>
        <w:t>
гражданских воздушных судов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обеспечения авиационными горюче-смазочными материалами гражданских воздушных судов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2010 года "Об использовании воздушного пространства Республики Казахстан и деятельности авиации" и определяют порядок обеспечения авиационными горюче-смазочными материалами гражданских воздушных судов.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Гражданские воздушные суда обеспечиваются авиационными горюче-смазочными материалами Службой горюче-смазочных материалов (далее – Служба ГСМ), которыми являются структурное подразделение организации гражданской авиации или самостоятельное юридическое лицо – организация по обеспечению горюче-смазочными материалами, имеющие сертификат по обеспечению горюче-смазочными материалами гражданских воздушных судов, выдаваемый уполномоченным органом в сфере гражданской авиации.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Термины и определения, используемые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система централизованной заправки гражданских воздушных судов топливом (далее – система ЦЗC) – комплекс сооружений и технологического оборудования для подачи топлива из резервуаров в баки гражданских воздушных судов с помощью стационарных насосов по технологическим трубопроводам и через заправочные агрегаты;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авиационные горюче-смазочные материалы (далее – авиаГСМ) – общее наименование топлив, масел, смазок и специальных жидкостей всех марок, применяемых при эксплуатации авиационной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качество авиаГСМ – совокупность свойств авиаГСМ, определяющая способность этих материалов удовлетворять требованиям установленным в нормативно-технической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склад авиаГСМ – комплекс зданий, сооружений, установок и оборудования приема, хранения и выдачи авиаГСМ для заправки гражданских воздушных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подтоварная вода – вода, образующаяся в резервуарах в результате отстаивания горюче-смазочных материалов.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обеспечения авиационными горюче-смазочными</w:t>
      </w:r>
      <w:r>
        <w:br/>
      </w:r>
      <w:r>
        <w:rPr>
          <w:rFonts w:ascii="Times New Roman"/>
          <w:b/>
          <w:i w:val="false"/>
          <w:color w:val="000000"/>
        </w:rPr>
        <w:t>
материалами гражданских воздушных судов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Количество и размеры резервуаров определяются Службой ГСМ для обеспечения повседневных нужд организаций гражданской авиации, а также для создания резервного количества авиаГСМ.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 обеспечении гражданских воздушных судов Служба ГСМ использует авиаГСМ: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допущенные к применению и внесенный в документы по летной эксплуатации и техническому обслуживанию соответствующих типов гражданских воздушных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имеющие сертификат соответствия (для авиаГСМ, подлежащих сертификации в соответствии с законодательством Республики Казахстан).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Использование авиаГСМ, не внесенные в документы по летной эксплуатации и техническому обслуживанию гражданских воздушных судов, осуществляется по согласованию с производителями и конструкторами гражданских воздушных судов.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Договор на поставку авиаГСМ заключается в соответствии с гражданским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 заключении договоров на поставку авиаГСМ поставщик гарантирует: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соответствие поставляемой марки авиаГСМ требованиям технических регламентов и стандартов, спецификаций и технологий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поставку авиаГСМ с гарантией качества производителя и документацией, подтверждающей качество и количество авиаГСМ;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соблюдение требований по сохранности качества и исключению смешения авиаГСМ с другими марками ГСМ при транспортировке, а также в случаях комплексной транспортировки авиаГСМ различными транспортными средствами до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использование транспортных средств и емкостей специально подготовленных и предназначенных для транспортировки авиаГСМ;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обязательства по своевременному информированию о возникшем и выявленном случае умышленного или неумышленного ухудшения качества авиаГСМ в процессе производства, хранения и транспортировки, которые могут повлиять на надежность работы авиационной техники при получении и использовании данной марки авиаГСМ.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Заправка гражданских воздушных судов авиаГСМ осуществляется на основании суточных планов полетов, которые поступают от уполномоченного представителя авиакомпании в срок не позднее одних суток до планируемых суток с указанием номеров рейсов, типов и бортовых номеров, времени вылетов и количества авиаГСМ для каждого из них. Заявки на авиаГСМ передаются в Службу ГСМ.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авиаГСМ, применяемых на гражданских воздушных судах, определяется разработчиком или заводом-изготовителем авиационной техники.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Марки применяемых авиаГСМ по типам гражданских воздушных судов определяются нормативно-техническими документами в области гражданской авиации, инструкциями по эксплуатации гражданских воздушных судов, программой (регламентом) технического обслуживания гражданских воздушных судов. Номенклатура авиаГСМ и специальных жидкостей, применяемых на гражданских воздушных судах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Заправка гражданских воздушных судов в аэропортах осуществляется в соответствии с нормативными документами и на основании договоров, заключенных между эксплуатантом гражданских воздушных судов и Службой ГСМ, осуществляющей выдачу авиаГСМ на заправку.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Заправка гражданских воздушных судов может производиться через систему ЦЗС, а также с применением специальных транспортных средств: топливозаправщиков, маслозаправщиков, заправочных агрегатов.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Все оперативные изменения в суточном плане полетов, влияющие на организацию заправки гражданских воздушных судов авиаГСМ, сообщаются диспетчеру службы специального транспорта не позднее, чем за 2 часа до прилета или вылета гражданских воздушных судов по измененному плану.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обеспечения оперативности заправки гражданских воздушных судов личный состав заправочной бригады размещается в помещениях, расположенных в непосредственной близости к местам заправки и оборудованных радио и телефонной связью. Радиосвязь устанавливается и в специальном транспорте (топливозаправщик, маслозаправщик, заправочный агрегат).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Перед подключением очередного резервуара и в начале каждой смены техником авиаГСМ Службы ГСМ проверяется наличие подтоварной воды в расходном резервуаре.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проверки наличия подтоварной воды в расходном резервуаре, в порезервуарном передаточном журнале в графе "Заключение и подпись техника авиаГСМ о проверке наличия воды" делается запись "Результаты контроля уровня чистоты авиаГСМ удовлетворительные. Выдачу разрешаю".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Форма порезервуарного передаточного журнала определена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Допуск специальных транспортных средств к заправке гражданских воздушных судов осуществляется в начале очередной смены специалистом Службы ГСМ совместно с механиком (бригадиром) службы специального транспорта, с отметкой в журнале допуска специальных транспортных средств. О специальных транспортных средствах, допущенных к заправке, сообщается диспетчеру службы специального транспорта и/или Службы ГСМ.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После каждого наполнения специальных транспортных средств (топливозаправщиков, маслозаправщиков) специалист Службы ГСМ проверяет чистоту авиаГСМ, делает отметку в контрольном талоне о допуске к заправке гражданских воздушных судов и сообщает об этом диспетчеру службы специального транспорта и/или Службы ГСМ.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Выезд специальных транспортных средств (топливозаправщика, маслозаправщика, заправочного агрегата) на заправку гражданских воздушных судов производится по указанию диспетчера службы специального транспорта и/или Службы ГСМ.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17. Заправка гражданского воздушного судна производится после остановки его двигателей и слива отстоя из баков согласно инструкциям и программам (регламентам) технического обслуживания гражданских воздушных судов.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 начала заправки гражданское воздушное судно закрепляется и фиксируется упорными колодками.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Подъезд заправочных специальных транспортных средств к гражданским воздушным судам и их установка производится допущенными к этому специалистами Службы ГСМ.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проведении заправки гражданских воздушных судов соблюдаются требования по технической эксплуатации объектов обеспечения авиаГСМ 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пожарной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Перед началом заправки лицо, обслуживающее гражданское воздушное судно (представитель экипажа гражданского воздушного судна, авиатехник инженерно-авиационной техники), проверяет: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контрольному талону – разрешение на заправку, соответствие номеров специальных транспортных средств указанных в талоне, соответствие поданных на заправку авиаГСМ и процентное содержание противоводокристаллизацонной жидкости, дату и время проверки слива отстоя топлива из топливозаправщиков, и его чистоту;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надежность и исправность средств заземления и устройств для выравнивания потенциалов средств заправки и гражданских воздушных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наличие на месте заправки первичных средств пожаротушения;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установку упорных колодок под колеса топливозаправщиков.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окончании проверки лицо, обслуживающее гражданское воздушное судно (представитель экипажа гражданского воздушного судна, авиатехник инженерно-авиационной техники), дает разрешение приступить к заправке гражданского воздушного судна, указывает режим заправки, а также конкретное количество авиаГСМ для заправки с распределением по группам баков.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Лицо, обслуживающее гражданское воздушное судно (представитель экипажа гражданского воздушного судна, авиатехник инженерно-авиационной техники), осуществляет контроль за заправкой гражданского воздушного судна, соответствием фактического количества авиаГСМ, заправленного в гражданское воздушное судно, указанному в задании на полет, правильным распределением авиаГСМ по бакам и группам топливной и масляной системы гражданского воздушного судна, за использованием противоводокристаллизацонной жидкости.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Диспетчер службы специального транспорта и/или Службы ГСМ фиксирует количество авиаГСМ, заправленных по типам и номерам гражданских воздушных судов, и информирует уполномоченных лиц Службы ГСМ об окончании заправки каждого гражданского воздушного судна.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Слив авиаГСМ из баков гражданского воздушного судна производится по заявкам авиакомпании. Заявка подается диспетчеру службы специального транспорта и/или Службы ГСМ.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Слив производится в специально выделенные под каждую марку авиаГСМ топливозаправщики, которые оборудованы средствами измерения количества сливаемого топлива.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Слив авиаГСМ из баков гражданского воздушного судна в топливозаправщик, предназначенный для заправки гражданских воздушных судов,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Заправка гражданских воздушных судов при наличии пассажиров на борту выполняется для предотвращения задержки вылетов гражданских воздушных судов при соблюдении дополнительных мер пожарной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Дополнительными мерами пожарной безопасности при заправке гражданских воздушных судов при наличии пассажиров на борту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привлечение дополнительного количества пожарной автотехники;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открытие всех дверей гражданского воздушного судна.</w:t>
      </w:r>
    </w:p>
    <w:bookmarkEnd w:id="6"/>
    <w:bookmarkStart w:name="z6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обеспечения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авиационными горюче-смазочными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материалами гражданских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воздушных судов       </w:t>
      </w:r>
    </w:p>
    <w:bookmarkEnd w:id="7"/>
    <w:bookmarkStart w:name="z6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Номенклатура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авиационных топлива, масел, смазок и специальных жидкостей,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применяемых на ВС ГА Республики Казахстан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5"/>
        <w:gridCol w:w="3132"/>
        <w:gridCol w:w="3814"/>
      </w:tblGrid>
      <w:tr>
        <w:trPr>
          <w:trHeight w:val="30" w:hRule="atLeast"/>
        </w:trPr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продукта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продукта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(ТУ)</w:t>
            </w:r>
          </w:p>
        </w:tc>
      </w:tr>
      <w:tr>
        <w:trPr>
          <w:trHeight w:val="30" w:hRule="atLeast"/>
        </w:trPr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БЕНЗИНЫ</w:t>
            </w:r>
          </w:p>
        </w:tc>
      </w:tr>
      <w:tr>
        <w:trPr>
          <w:trHeight w:val="30" w:hRule="atLeast"/>
        </w:trPr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авиационный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авиационный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авиационный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для промышленно-технических целей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Б-91/115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Б-92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Нефрас-С50/170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 38.101913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 38.401-58-47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8505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АВИАКЕРОСИНЫ</w:t>
            </w:r>
          </w:p>
        </w:tc>
      </w:tr>
      <w:tr>
        <w:trPr>
          <w:trHeight w:val="30" w:hRule="atLeast"/>
        </w:trPr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для реактивных двигателей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Авиационное топливо для газотурбинных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двигателей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ТС-1, РТ, Т-1, Т-2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Джет А-1 (Jet A-1)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10227-86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52050-2003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МАСЛА АВИАЦИОННЫЕ</w:t>
            </w:r>
          </w:p>
        </w:tc>
      </w:tr>
      <w:tr>
        <w:trPr>
          <w:trHeight w:val="30" w:hRule="atLeast"/>
        </w:trPr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авиационное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"Боинг"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"А-310-300"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авиационное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авиационное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авиационное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Маслосмесь (75% об МС-8П, МС-8РК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МК-8П+25 % об МС-20)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синтетическое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синтетическое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синтетическое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синтетическое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авиационное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шарнирное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для гипоидных передач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Маслосмесь (50% об МС-8П,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МС-8РК или МК-8П+50% об МС-20)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Маслосмесь (67% об ТСгип+33% об АМГ-10)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Маслосмесь (25% об МС-8П, МС-8РК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МК-8П+75% об МС-20)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Маслосмесь (50% об ТСгип + 50%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АМГ-10)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смазочное 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МС-14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ETO 2380, MJ02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Mobil Jet Oil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МС-20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МК-8П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МС-8П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МН-7,5У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СМ-4,5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ВНИИНП-50-1-4ф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ВНИИНП-50-1-4у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Б-3В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Лз-240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ИПМ-10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ВНИИНП-25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Тсгип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СМ-11,5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50/50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132-08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21743-76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СР2442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MIL-L-23699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21743-76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6457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 38.01163-78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 38.101722-85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 54-3-175-72-99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13076-86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 38.401-58-12-91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 38.101295-85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 301-04-010-92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 38.1011299-90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11122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 38.01260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18375-73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ЖИДКОСТИ</w:t>
            </w:r>
          </w:p>
        </w:tc>
      </w:tr>
      <w:tr>
        <w:trPr>
          <w:trHeight w:val="30" w:hRule="atLeast"/>
        </w:trPr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Рабочая жидкость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Рабочая жидкость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Рабочая жидкость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Гидрожидкость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Рабочая жидкость 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АМГ-10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НГЖ-4, 4у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НГЖ-5у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SKYDROL 500B4 FH-51 (АМГ-10)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6794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 38.401891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 38.401-58-57-93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MIL-L-5606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КОНСЕРВАЦИОННЫЕ МАСЛА И ПРИСАДКИ </w:t>
            </w:r>
          </w:p>
        </w:tc>
      </w:tr>
      <w:tr>
        <w:trPr>
          <w:trHeight w:val="30" w:hRule="atLeast"/>
        </w:trPr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консервационное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рабочее консервационное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Присадка 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К-17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МС-8РК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АКОР-1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10877-76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 38.1011181-88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15171-78 </w:t>
            </w:r>
          </w:p>
        </w:tc>
      </w:tr>
      <w:tr>
        <w:trPr>
          <w:trHeight w:val="30" w:hRule="atLeast"/>
        </w:trPr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ПЛАСТИЧЕСКИЕ СМАЗКИ 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Смазка пластическая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Смазка пластическая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Смазка пластическая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Смазка пластическая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Смазка пластическая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Смазка пластическая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Смазка тугоплавкая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Смазка бензиноупорная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Смазка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Смазка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Смазка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Смазка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Смазка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Смазка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Смазка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Смазка 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ЦИАТИМ-201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Mobil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Aeroshell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ЦИАТИМ-203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ЦИАТИМ-221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Пушечная (ПВК)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НК-50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АМС-3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ВНИИНП-207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ОКБ-122-7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Эра (ВНИИНП-286М)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Сапфир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(ВНИИНП-261)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Атланта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(ВНИИНП-254)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ВНИИНП-246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ВНИИНП-282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6267-74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MIL-PFR-81322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MIL-PRF-81322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8773-73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9433-80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19537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 38.01355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7171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2712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19774-74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18179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 38.101950-2000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 38.1011051-87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 38.1011048-85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18852-73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 38.1011261-89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СМАЗОЧНЫЕ МАТЕРИАЛЫ </w:t>
            </w:r>
          </w:p>
        </w:tc>
      </w:tr>
      <w:tr>
        <w:trPr>
          <w:trHeight w:val="30" w:hRule="atLeast"/>
        </w:trPr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для форвакуумных насосов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часовое низкотемпературное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приборное 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ВМ-4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НИИЧП-МН-60У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МП-601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23013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 18-2/19-76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 38.101787-79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ПАСТЫ </w:t>
            </w:r>
          </w:p>
        </w:tc>
      </w:tr>
      <w:tr>
        <w:trPr>
          <w:trHeight w:val="30" w:hRule="atLeast"/>
        </w:trPr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Паста 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ВНИИНП-225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ВНИИНП-232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ПФМС-4с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19782-74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14068-79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 6-02-917-79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СПЕЦИАЛЬНЫЕ ЖИДКОСТИ </w:t>
            </w:r>
          </w:p>
        </w:tc>
      </w:tr>
      <w:tr>
        <w:trPr>
          <w:trHeight w:val="3720" w:hRule="atLeast"/>
        </w:trPr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Жидкость противообледенительная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Жидкость противообледенительная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Жидкость противообледенительная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Этилцеллозольв технический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Тетранидрофурфуриловый спирт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Жидкость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Жидкость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Жидкость противообледенительная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 этиловый технический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 этиловый синтетический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Спирт этиловый ректификованный технический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 этиловый (головная фракция)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 этиловый ректификованный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(из пищевого сырья) 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"Арктика"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Арктика ДГ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Арктика-200"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Жидкость "И"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ТГФ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ТГФ-М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И-М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Type I, Type II,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Type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 6-00-5763445-10-89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 2422-003-26759308-2005 ТУ 6-00-5763445-5-88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8313-88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17477-86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 6-10-1457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 54-3-175-73-99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Классификация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А.Е.А.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17299-78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11547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18300-87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 18.121-73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5962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СРЕДСТВА</w:t>
            </w:r>
          </w:p>
        </w:tc>
      </w:tr>
      <w:tr>
        <w:trPr>
          <w:trHeight w:val="30" w:hRule="atLeast"/>
        </w:trPr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Концентрат специальной жидкости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Средство моющее техническое 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Вертолин-74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 38.101318-77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 38.10960 </w:t>
            </w:r>
          </w:p>
        </w:tc>
      </w:tr>
    </w:tbl>
    <w:bookmarkStart w:name="z6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обеспечения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авиационными горюче-смазочными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материалами гражданских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воздушных судов       </w:t>
      </w:r>
    </w:p>
    <w:bookmarkEnd w:id="9"/>
    <w:bookmarkStart w:name="z6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Порезервуарный передаточный журнал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1353"/>
        <w:gridCol w:w="1033"/>
        <w:gridCol w:w="1213"/>
        <w:gridCol w:w="1373"/>
        <w:gridCol w:w="1333"/>
        <w:gridCol w:w="1033"/>
        <w:gridCol w:w="913"/>
        <w:gridCol w:w="1053"/>
        <w:gridCol w:w="913"/>
        <w:gridCol w:w="1333"/>
      </w:tblGrid>
      <w:tr>
        <w:trPr>
          <w:trHeight w:val="30" w:hRule="atLeast"/>
        </w:trPr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смены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ГСМ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вуара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вуаре,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вуаре, л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Показания счетчиков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выданного ГСМ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ГСМ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приеме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сдаче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вуарах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чикам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 заполнения всех граф журнала и записи количества выданного ГСМ ставятся подписи: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Сдал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Принял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