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420c" w14:textId="6014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(методики) ценообразования на титан губчатый, титановые слитки и магний первичный в слитках</w:t>
      </w:r>
    </w:p>
    <w:p>
      <w:pPr>
        <w:spacing w:after="0"/>
        <w:ind w:left="0"/>
        <w:jc w:val="both"/>
      </w:pPr>
      <w:r>
        <w:rPr>
          <w:rFonts w:ascii="Times New Roman"/>
          <w:b w:val="false"/>
          <w:i w:val="false"/>
          <w:color w:val="000000"/>
          <w:sz w:val="28"/>
        </w:rPr>
        <w:t>Постановление Правительства Республики Казахстан от 30 июня 2011 года № 741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10 статьи 10 Закона Республики Казахстан от 5 июля 2008 года «О трансфертном ценообразовании»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(методику) ценообразования на титан губчатый, титановые слитки и магний первичный в слитках.</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июня 2011 года № 741 </w:t>
      </w:r>
    </w:p>
    <w:bookmarkEnd w:id="1"/>
    <w:bookmarkStart w:name="z5" w:id="2"/>
    <w:p>
      <w:pPr>
        <w:spacing w:after="0"/>
        <w:ind w:left="0"/>
        <w:jc w:val="left"/>
      </w:pPr>
      <w:r>
        <w:rPr>
          <w:rFonts w:ascii="Times New Roman"/>
          <w:b/>
          <w:i w:val="false"/>
          <w:color w:val="000000"/>
        </w:rPr>
        <w:t xml:space="preserve"> 
Правила (методика)</w:t>
      </w:r>
      <w:r>
        <w:br/>
      </w:r>
      <w:r>
        <w:rPr>
          <w:rFonts w:ascii="Times New Roman"/>
          <w:b/>
          <w:i w:val="false"/>
          <w:color w:val="000000"/>
        </w:rPr>
        <w:t>
ценообразования на титан губчатый,</w:t>
      </w:r>
      <w:r>
        <w:br/>
      </w:r>
      <w:r>
        <w:rPr>
          <w:rFonts w:ascii="Times New Roman"/>
          <w:b/>
          <w:i w:val="false"/>
          <w:color w:val="000000"/>
        </w:rPr>
        <w:t xml:space="preserve">
титановые слитки и магний первичный в слитках </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Настоящие Правила (методика) устанавливают порядок определения (расчета) цен сделок (реализации) на титан губчатый, титановые слитки и магний первичный в слитках при совершении экспортных сделок по купле-продаже указанных товаров.</w:t>
      </w:r>
    </w:p>
    <w:bookmarkEnd w:id="4"/>
    <w:bookmarkStart w:name="z8" w:id="5"/>
    <w:p>
      <w:pPr>
        <w:spacing w:after="0"/>
        <w:ind w:left="0"/>
        <w:jc w:val="left"/>
      </w:pPr>
      <w:r>
        <w:rPr>
          <w:rFonts w:ascii="Times New Roman"/>
          <w:b/>
          <w:i w:val="false"/>
          <w:color w:val="000000"/>
        </w:rPr>
        <w:t xml:space="preserve"> 
2. Термины и определения, используемые в настоящих Правилах</w:t>
      </w:r>
    </w:p>
    <w:bookmarkEnd w:id="5"/>
    <w:bookmarkStart w:name="z9" w:id="6"/>
    <w:p>
      <w:pPr>
        <w:spacing w:after="0"/>
        <w:ind w:left="0"/>
        <w:jc w:val="both"/>
      </w:pPr>
      <w:r>
        <w:rPr>
          <w:rFonts w:ascii="Times New Roman"/>
          <w:b w:val="false"/>
          <w:i w:val="false"/>
          <w:color w:val="000000"/>
          <w:sz w:val="28"/>
        </w:rPr>
        <w:t xml:space="preserve">
      В настоящих Правилах используются следующие термины и определения: </w:t>
      </w:r>
      <w:r>
        <w:br/>
      </w:r>
      <w:r>
        <w:rPr>
          <w:rFonts w:ascii="Times New Roman"/>
          <w:b w:val="false"/>
          <w:i w:val="false"/>
          <w:color w:val="000000"/>
          <w:sz w:val="28"/>
        </w:rPr>
        <w:t>
</w:t>
      </w:r>
      <w:r>
        <w:rPr>
          <w:rFonts w:ascii="Times New Roman"/>
          <w:b w:val="false"/>
          <w:i w:val="false"/>
          <w:color w:val="000000"/>
          <w:sz w:val="28"/>
        </w:rPr>
        <w:t>
      1) ГОСТ – межгосударственный стандарт ГОСТ 17746-96 «Титан губчатый. Технические условия», принятый Межгосударственным Советом по стандартизации, метрологии и сертификации (протокол № 9 от 12 апреля 1996 года);</w:t>
      </w:r>
      <w:r>
        <w:br/>
      </w:r>
      <w:r>
        <w:rPr>
          <w:rFonts w:ascii="Times New Roman"/>
          <w:b w:val="false"/>
          <w:i w:val="false"/>
          <w:color w:val="000000"/>
          <w:sz w:val="28"/>
        </w:rPr>
        <w:t>
</w:t>
      </w:r>
      <w:r>
        <w:rPr>
          <w:rFonts w:ascii="Times New Roman"/>
          <w:b w:val="false"/>
          <w:i w:val="false"/>
          <w:color w:val="000000"/>
          <w:sz w:val="28"/>
        </w:rPr>
        <w:t>
      2) дифференциал – размер корректировки, применяемый для приведения в сопоставимые экономические условия цены сделки или цены из источника информации в соответствии с законодательством Республики Казахстан о трансфертном ценообразовании и определяемый с учетом положений </w:t>
      </w:r>
      <w:r>
        <w:rPr>
          <w:rFonts w:ascii="Times New Roman"/>
          <w:b w:val="false"/>
          <w:i w:val="false"/>
          <w:color w:val="000000"/>
          <w:sz w:val="28"/>
        </w:rPr>
        <w:t>главы 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 долгосрочный контракт – контракт (договор) купли-продажи титана губчатого, титановых слитков, магния первичного в слитках, заключенный на срок от одного года до двух лет;</w:t>
      </w:r>
      <w:r>
        <w:br/>
      </w:r>
      <w:r>
        <w:rPr>
          <w:rFonts w:ascii="Times New Roman"/>
          <w:b w:val="false"/>
          <w:i w:val="false"/>
          <w:color w:val="000000"/>
          <w:sz w:val="28"/>
        </w:rPr>
        <w:t>
</w:t>
      </w:r>
      <w:r>
        <w:rPr>
          <w:rFonts w:ascii="Times New Roman"/>
          <w:b w:val="false"/>
          <w:i w:val="false"/>
          <w:color w:val="000000"/>
          <w:sz w:val="28"/>
        </w:rPr>
        <w:t>
      4) магний первичный в слитках – магний первичный в чушках, предназначенный для производства сплавов, магниетермических процессов, десульфурации чугуна в качестве химического реагента и других целей;</w:t>
      </w:r>
      <w:r>
        <w:br/>
      </w:r>
      <w:r>
        <w:rPr>
          <w:rFonts w:ascii="Times New Roman"/>
          <w:b w:val="false"/>
          <w:i w:val="false"/>
          <w:color w:val="000000"/>
          <w:sz w:val="28"/>
        </w:rPr>
        <w:t>
</w:t>
      </w:r>
      <w:r>
        <w:rPr>
          <w:rFonts w:ascii="Times New Roman"/>
          <w:b w:val="false"/>
          <w:i w:val="false"/>
          <w:color w:val="000000"/>
          <w:sz w:val="28"/>
        </w:rPr>
        <w:t>
      5) спецификация покупателя – документ, содержащий требования к твердости и химическому составу титана губчатого, титановых слитков, магния первичного в слитках, который утверждается потребителем, использующим продукцию титано-магниевого комбината для производства изделий из титана и его сплавов;</w:t>
      </w:r>
      <w:r>
        <w:br/>
      </w:r>
      <w:r>
        <w:rPr>
          <w:rFonts w:ascii="Times New Roman"/>
          <w:b w:val="false"/>
          <w:i w:val="false"/>
          <w:color w:val="000000"/>
          <w:sz w:val="28"/>
        </w:rPr>
        <w:t>
</w:t>
      </w:r>
      <w:r>
        <w:rPr>
          <w:rFonts w:ascii="Times New Roman"/>
          <w:b w:val="false"/>
          <w:i w:val="false"/>
          <w:color w:val="000000"/>
          <w:sz w:val="28"/>
        </w:rPr>
        <w:t xml:space="preserve">
      6) Стандарт B 348-09 – международный стандарт американской добровольной организации «ASTM International» (Американское общество по материалам и их испытаниям), разрабатывающей и издающей стандарты для материалов, продуктов, систем и услуг всех отраслей; </w:t>
      </w:r>
      <w:r>
        <w:br/>
      </w:r>
      <w:r>
        <w:rPr>
          <w:rFonts w:ascii="Times New Roman"/>
          <w:b w:val="false"/>
          <w:i w:val="false"/>
          <w:color w:val="000000"/>
          <w:sz w:val="28"/>
        </w:rPr>
        <w:t>
</w:t>
      </w:r>
      <w:r>
        <w:rPr>
          <w:rFonts w:ascii="Times New Roman"/>
          <w:b w:val="false"/>
          <w:i w:val="false"/>
          <w:color w:val="000000"/>
          <w:sz w:val="28"/>
        </w:rPr>
        <w:t>
      7) титан губчатый – биологически и экологически безвредный материал, полученный магнийтермическим способом с вакуум-термической очисткой и являющийся исходным материалом для производства полуфабрикатов из титана и его сплавов, с содержанием титана не менее 95,0 мас.%;</w:t>
      </w:r>
      <w:r>
        <w:br/>
      </w:r>
      <w:r>
        <w:rPr>
          <w:rFonts w:ascii="Times New Roman"/>
          <w:b w:val="false"/>
          <w:i w:val="false"/>
          <w:color w:val="000000"/>
          <w:sz w:val="28"/>
        </w:rPr>
        <w:t>
</w:t>
      </w:r>
      <w:r>
        <w:rPr>
          <w:rFonts w:ascii="Times New Roman"/>
          <w:b w:val="false"/>
          <w:i w:val="false"/>
          <w:color w:val="000000"/>
          <w:sz w:val="28"/>
        </w:rPr>
        <w:t xml:space="preserve">
      8) титановые слитки – макроскопическая однородная смесь на основе титана или с добавками алюминия, ванадия, железа и других примесей, в виде литой металлической заготовки, предназначенной для дальнейшей переработки путем пластической деформации (прокатки, ковки, прессования), переплава или электролиза. В зависимости от процентного содержания титана различают титановые слитки коммерческой чистоты и титановые сплавы; </w:t>
      </w:r>
      <w:r>
        <w:br/>
      </w:r>
      <w:r>
        <w:rPr>
          <w:rFonts w:ascii="Times New Roman"/>
          <w:b w:val="false"/>
          <w:i w:val="false"/>
          <w:color w:val="000000"/>
          <w:sz w:val="28"/>
        </w:rPr>
        <w:t>
</w:t>
      </w:r>
      <w:r>
        <w:rPr>
          <w:rFonts w:ascii="Times New Roman"/>
          <w:b w:val="false"/>
          <w:i w:val="false"/>
          <w:color w:val="000000"/>
          <w:sz w:val="28"/>
        </w:rPr>
        <w:t xml:space="preserve">
      9) трейдер – лицо, осуществляющее посреднические функции при купле-продаже титана губчатого, титановых слитков, магния первичного в слитках самостоятельно и (или) по поручению участника сделки; </w:t>
      </w:r>
      <w:r>
        <w:br/>
      </w:r>
      <w:r>
        <w:rPr>
          <w:rFonts w:ascii="Times New Roman"/>
          <w:b w:val="false"/>
          <w:i w:val="false"/>
          <w:color w:val="000000"/>
          <w:sz w:val="28"/>
        </w:rPr>
        <w:t>
</w:t>
      </w:r>
      <w:r>
        <w:rPr>
          <w:rFonts w:ascii="Times New Roman"/>
          <w:b w:val="false"/>
          <w:i w:val="false"/>
          <w:color w:val="000000"/>
          <w:sz w:val="28"/>
        </w:rPr>
        <w:t>
      10) цена из источников информации – цена, публикуемая в долларах США ООО «Мегасофт» в журнале «Металлургический бюллетень» (Россия) и компанией «Metal Prices.Com» в журнале «Metal Prices» (США);</w:t>
      </w:r>
      <w:r>
        <w:br/>
      </w:r>
      <w:r>
        <w:rPr>
          <w:rFonts w:ascii="Times New Roman"/>
          <w:b w:val="false"/>
          <w:i w:val="false"/>
          <w:color w:val="000000"/>
          <w:sz w:val="28"/>
        </w:rPr>
        <w:t>
</w:t>
      </w:r>
      <w:r>
        <w:rPr>
          <w:rFonts w:ascii="Times New Roman"/>
          <w:b w:val="false"/>
          <w:i w:val="false"/>
          <w:color w:val="000000"/>
          <w:sz w:val="28"/>
        </w:rPr>
        <w:t>
      11) цена сделки – цена реализации титано-магниевого комбината на титан губчатый, титановые слитки, магний первичный в слитках, рассчитанная в соответствии с положениями настоящих Правил;</w:t>
      </w:r>
      <w:r>
        <w:br/>
      </w:r>
      <w:r>
        <w:rPr>
          <w:rFonts w:ascii="Times New Roman"/>
          <w:b w:val="false"/>
          <w:i w:val="false"/>
          <w:color w:val="000000"/>
          <w:sz w:val="28"/>
        </w:rPr>
        <w:t>
</w:t>
      </w:r>
      <w:r>
        <w:rPr>
          <w:rFonts w:ascii="Times New Roman"/>
          <w:b w:val="false"/>
          <w:i w:val="false"/>
          <w:color w:val="000000"/>
          <w:sz w:val="28"/>
        </w:rPr>
        <w:t>
      12) ценовой коридор – верхний и нижний пределы цен, устанавливаемые участниками сделки при заключении долгосрочных контрактов на основании ряда минимальных и максимальных значений цен из источников информации:</w:t>
      </w:r>
      <w:r>
        <w:br/>
      </w:r>
      <w:r>
        <w:rPr>
          <w:rFonts w:ascii="Times New Roman"/>
          <w:b w:val="false"/>
          <w:i w:val="false"/>
          <w:color w:val="000000"/>
          <w:sz w:val="28"/>
        </w:rPr>
        <w:t>
</w:t>
      </w:r>
      <w:r>
        <w:rPr>
          <w:rFonts w:ascii="Times New Roman"/>
          <w:b w:val="false"/>
          <w:i w:val="false"/>
          <w:color w:val="000000"/>
          <w:sz w:val="28"/>
        </w:rPr>
        <w:t>
      для титана губчатого и (или) магния первичного в слитках – журнал «Металлургический бюллетень», сайт www.metaltorg.ru (Россия);</w:t>
      </w:r>
      <w:r>
        <w:br/>
      </w:r>
      <w:r>
        <w:rPr>
          <w:rFonts w:ascii="Times New Roman"/>
          <w:b w:val="false"/>
          <w:i w:val="false"/>
          <w:color w:val="000000"/>
          <w:sz w:val="28"/>
        </w:rPr>
        <w:t>
</w:t>
      </w:r>
      <w:r>
        <w:rPr>
          <w:rFonts w:ascii="Times New Roman"/>
          <w:b w:val="false"/>
          <w:i w:val="false"/>
          <w:color w:val="000000"/>
          <w:sz w:val="28"/>
        </w:rPr>
        <w:t>
      для титановых слитков – журнал «Metal Prices», сайт www.metalprices.com (США).</w:t>
      </w:r>
    </w:p>
    <w:bookmarkEnd w:id="6"/>
    <w:bookmarkStart w:name="z24" w:id="7"/>
    <w:p>
      <w:pPr>
        <w:spacing w:after="0"/>
        <w:ind w:left="0"/>
        <w:jc w:val="left"/>
      </w:pPr>
      <w:r>
        <w:rPr>
          <w:rFonts w:ascii="Times New Roman"/>
          <w:b/>
          <w:i w:val="false"/>
          <w:color w:val="000000"/>
        </w:rPr>
        <w:t xml:space="preserve"> 
3. Применение ценового коридора при определении</w:t>
      </w:r>
      <w:r>
        <w:br/>
      </w:r>
      <w:r>
        <w:rPr>
          <w:rFonts w:ascii="Times New Roman"/>
          <w:b/>
          <w:i w:val="false"/>
          <w:color w:val="000000"/>
        </w:rPr>
        <w:t xml:space="preserve">
цены сделки для долгосрочных контрактов </w:t>
      </w:r>
    </w:p>
    <w:bookmarkEnd w:id="7"/>
    <w:bookmarkStart w:name="z25" w:id="8"/>
    <w:p>
      <w:pPr>
        <w:spacing w:after="0"/>
        <w:ind w:left="0"/>
        <w:jc w:val="both"/>
      </w:pPr>
      <w:r>
        <w:rPr>
          <w:rFonts w:ascii="Times New Roman"/>
          <w:b w:val="false"/>
          <w:i w:val="false"/>
          <w:color w:val="000000"/>
          <w:sz w:val="28"/>
        </w:rPr>
        <w:t xml:space="preserve">
      Для долгосрочных контрактов купли-продажи титана губчатого, титановых слитков и магния первичного в слитках участники сделки устанавливают ценовой коридор, применяемый в течение всего срока действия контракта. </w:t>
      </w:r>
      <w:r>
        <w:br/>
      </w:r>
      <w:r>
        <w:rPr>
          <w:rFonts w:ascii="Times New Roman"/>
          <w:b w:val="false"/>
          <w:i w:val="false"/>
          <w:color w:val="000000"/>
          <w:sz w:val="28"/>
        </w:rPr>
        <w:t>
</w:t>
      </w:r>
      <w:r>
        <w:rPr>
          <w:rFonts w:ascii="Times New Roman"/>
          <w:b w:val="false"/>
          <w:i w:val="false"/>
          <w:color w:val="000000"/>
          <w:sz w:val="28"/>
        </w:rPr>
        <w:t>
      Верхний и нижний пределы ценового коридора определяются на основании минимальных и максимальных значений цен, опубликованных в соответствующем источнике информации на каждое первое число двух календарных месяцев, предшествующих месяцу, в котором заключается долгосрочный контракт, и цен из источника информации, опубликованных на первое число месяца, в котором заключается долгосрочный контракт.</w:t>
      </w:r>
      <w:r>
        <w:br/>
      </w:r>
      <w:r>
        <w:rPr>
          <w:rFonts w:ascii="Times New Roman"/>
          <w:b w:val="false"/>
          <w:i w:val="false"/>
          <w:color w:val="000000"/>
          <w:sz w:val="28"/>
        </w:rPr>
        <w:t>
</w:t>
      </w:r>
      <w:r>
        <w:rPr>
          <w:rFonts w:ascii="Times New Roman"/>
          <w:b w:val="false"/>
          <w:i w:val="false"/>
          <w:color w:val="000000"/>
          <w:sz w:val="28"/>
        </w:rPr>
        <w:t>
      Ценовой коридор, установленный участниками сделки при заключении долгосрочного контракта, применяется для определения цены сделки на дату перехода права собственности на титан губчатый, титановые слитки и магний первичный в слитках.</w:t>
      </w:r>
      <w:r>
        <w:br/>
      </w:r>
      <w:r>
        <w:rPr>
          <w:rFonts w:ascii="Times New Roman"/>
          <w:b w:val="false"/>
          <w:i w:val="false"/>
          <w:color w:val="000000"/>
          <w:sz w:val="28"/>
        </w:rPr>
        <w:t>
</w:t>
      </w:r>
      <w:r>
        <w:rPr>
          <w:rFonts w:ascii="Times New Roman"/>
          <w:b w:val="false"/>
          <w:i w:val="false"/>
          <w:color w:val="000000"/>
          <w:sz w:val="28"/>
        </w:rPr>
        <w:t xml:space="preserve">
      При отклонении среднеарифметического значения цены из источника информации от верхнего предела установленного ценового коридора в сторону увеличения (повышения), цена сделки на дату перехода права собственности на титан губчатый, титановые слитки, магний первичный в слитках рассчитывается на основании верхнего предела установленного ценового коридора. </w:t>
      </w:r>
      <w:r>
        <w:br/>
      </w:r>
      <w:r>
        <w:rPr>
          <w:rFonts w:ascii="Times New Roman"/>
          <w:b w:val="false"/>
          <w:i w:val="false"/>
          <w:color w:val="000000"/>
          <w:sz w:val="28"/>
        </w:rPr>
        <w:t>
</w:t>
      </w:r>
      <w:r>
        <w:rPr>
          <w:rFonts w:ascii="Times New Roman"/>
          <w:b w:val="false"/>
          <w:i w:val="false"/>
          <w:color w:val="000000"/>
          <w:sz w:val="28"/>
        </w:rPr>
        <w:t>
      При отклонении среднеарифметического значения цены из источника информации от нижнего предела установленного ценового коридора в сторону уменьшения (снижения), цена сделки на дату перехода права собственности на титан губчатый, титановые слитки, магний первичный в слитках рассчитывается на основании нижнего предела установленного ценового коридора.</w:t>
      </w:r>
    </w:p>
    <w:bookmarkEnd w:id="8"/>
    <w:bookmarkStart w:name="z30" w:id="9"/>
    <w:p>
      <w:pPr>
        <w:spacing w:after="0"/>
        <w:ind w:left="0"/>
        <w:jc w:val="left"/>
      </w:pPr>
      <w:r>
        <w:rPr>
          <w:rFonts w:ascii="Times New Roman"/>
          <w:b/>
          <w:i w:val="false"/>
          <w:color w:val="000000"/>
        </w:rPr>
        <w:t xml:space="preserve"> 
4. Порядок определения цены сделки (реализации)</w:t>
      </w:r>
      <w:r>
        <w:br/>
      </w:r>
      <w:r>
        <w:rPr>
          <w:rFonts w:ascii="Times New Roman"/>
          <w:b/>
          <w:i w:val="false"/>
          <w:color w:val="000000"/>
        </w:rPr>
        <w:t xml:space="preserve">
на титан губчатый </w:t>
      </w:r>
    </w:p>
    <w:bookmarkEnd w:id="9"/>
    <w:bookmarkStart w:name="z31" w:id="10"/>
    <w:p>
      <w:pPr>
        <w:spacing w:after="0"/>
        <w:ind w:left="0"/>
        <w:jc w:val="both"/>
      </w:pPr>
      <w:r>
        <w:rPr>
          <w:rFonts w:ascii="Times New Roman"/>
          <w:b w:val="false"/>
          <w:i w:val="false"/>
          <w:color w:val="000000"/>
          <w:sz w:val="28"/>
        </w:rPr>
        <w:t>
      Для долгосрочного контракта купли-продажи титана губчатого цена сделки (реализации) рассчитывается по следующей формуле:</w:t>
      </w:r>
    </w:p>
    <w:bookmarkEnd w:id="10"/>
    <w:bookmarkStart w:name="z32" w:id="11"/>
    <w:p>
      <w:pPr>
        <w:spacing w:after="0"/>
        <w:ind w:left="0"/>
        <w:jc w:val="both"/>
      </w:pPr>
      <w:r>
        <w:rPr>
          <w:rFonts w:ascii="Times New Roman"/>
          <w:b w:val="false"/>
          <w:i w:val="false"/>
          <w:color w:val="000000"/>
          <w:sz w:val="28"/>
        </w:rPr>
        <w:t>
      ЦС</w:t>
      </w:r>
      <w:r>
        <w:rPr>
          <w:rFonts w:ascii="Times New Roman"/>
          <w:b w:val="false"/>
          <w:i w:val="false"/>
          <w:color w:val="000000"/>
          <w:vertAlign w:val="subscript"/>
        </w:rPr>
        <w:t>Ti</w:t>
      </w:r>
      <w:r>
        <w:rPr>
          <w:rFonts w:ascii="Times New Roman"/>
          <w:b w:val="false"/>
          <w:i w:val="false"/>
          <w:color w:val="000000"/>
          <w:sz w:val="28"/>
        </w:rPr>
        <w:t> </w:t>
      </w:r>
      <w:r>
        <w:rPr>
          <w:rFonts w:ascii="Times New Roman"/>
          <w:b w:val="false"/>
          <w:i w:val="false"/>
          <w:color w:val="000000"/>
          <w:sz w:val="28"/>
          <w:u w:val="single"/>
        </w:rPr>
        <w:t>&gt;</w:t>
      </w:r>
      <w:r>
        <w:rPr>
          <w:rFonts w:ascii="Times New Roman"/>
          <w:b w:val="false"/>
          <w:i w:val="false"/>
          <w:color w:val="000000"/>
          <w:sz w:val="28"/>
        </w:rPr>
        <w:t xml:space="preserve"> ЦИИ</w:t>
      </w:r>
      <w:r>
        <w:rPr>
          <w:rFonts w:ascii="Times New Roman"/>
          <w:b w:val="false"/>
          <w:i w:val="false"/>
          <w:color w:val="000000"/>
          <w:vertAlign w:val="subscript"/>
        </w:rPr>
        <w:t>Ti</w:t>
      </w:r>
      <w:r>
        <w:rPr>
          <w:rFonts w:ascii="Times New Roman"/>
          <w:b w:val="false"/>
          <w:i w:val="false"/>
          <w:color w:val="000000"/>
          <w:sz w:val="28"/>
        </w:rPr>
        <w:t xml:space="preserve"> х К</w:t>
      </w:r>
      <w:r>
        <w:rPr>
          <w:rFonts w:ascii="Times New Roman"/>
          <w:b w:val="false"/>
          <w:i w:val="false"/>
          <w:color w:val="000000"/>
          <w:vertAlign w:val="subscript"/>
        </w:rPr>
        <w:t>Ti</w:t>
      </w:r>
      <w:r>
        <w:rPr>
          <w:rFonts w:ascii="Times New Roman"/>
          <w:b w:val="false"/>
          <w:i w:val="false"/>
          <w:color w:val="000000"/>
          <w:sz w:val="28"/>
        </w:rPr>
        <w:t xml:space="preserve"> - </w:t>
      </w:r>
      <w:r>
        <w:rPr>
          <w:rFonts w:ascii="Times New Roman"/>
          <w:b w:val="false"/>
          <w:i w:val="false"/>
          <w:color w:val="000000"/>
          <w:sz w:val="28"/>
          <w:u w:val="single"/>
        </w:rPr>
        <w:t>/\</w:t>
      </w:r>
      <w:r>
        <w:rPr>
          <w:rFonts w:ascii="Times New Roman"/>
          <w:b w:val="false"/>
          <w:i w:val="false"/>
          <w:color w:val="000000"/>
          <w:vertAlign w:val="subscript"/>
        </w:rPr>
        <w:t> </w:t>
      </w:r>
      <w:r>
        <w:rPr>
          <w:rFonts w:ascii="Times New Roman"/>
          <w:b w:val="false"/>
          <w:i w:val="false"/>
          <w:color w:val="000000"/>
          <w:sz w:val="28"/>
        </w:rPr>
        <w:t>, где</w:t>
      </w:r>
    </w:p>
    <w:bookmarkEnd w:id="11"/>
    <w:bookmarkStart w:name="z33" w:id="12"/>
    <w:p>
      <w:pPr>
        <w:spacing w:after="0"/>
        <w:ind w:left="0"/>
        <w:jc w:val="both"/>
      </w:pPr>
      <w:r>
        <w:rPr>
          <w:rFonts w:ascii="Times New Roman"/>
          <w:b w:val="false"/>
          <w:i w:val="false"/>
          <w:color w:val="000000"/>
          <w:sz w:val="28"/>
        </w:rPr>
        <w:t>
      ЦС</w:t>
      </w:r>
      <w:r>
        <w:rPr>
          <w:rFonts w:ascii="Times New Roman"/>
          <w:b w:val="false"/>
          <w:i w:val="false"/>
          <w:color w:val="000000"/>
          <w:vertAlign w:val="subscript"/>
        </w:rPr>
        <w:t>Ti</w:t>
      </w:r>
      <w:r>
        <w:rPr>
          <w:rFonts w:ascii="Times New Roman"/>
          <w:b w:val="false"/>
          <w:i w:val="false"/>
          <w:color w:val="000000"/>
          <w:sz w:val="28"/>
        </w:rPr>
        <w:t xml:space="preserve"> – цена сделки (реализации) на титан губчатый на дату перехода права собственности покупателю;</w:t>
      </w:r>
      <w:r>
        <w:br/>
      </w:r>
      <w:r>
        <w:rPr>
          <w:rFonts w:ascii="Times New Roman"/>
          <w:b w:val="false"/>
          <w:i w:val="false"/>
          <w:color w:val="000000"/>
          <w:sz w:val="28"/>
        </w:rPr>
        <w:t>
</w:t>
      </w:r>
      <w:r>
        <w:rPr>
          <w:rFonts w:ascii="Times New Roman"/>
          <w:b w:val="false"/>
          <w:i w:val="false"/>
          <w:color w:val="000000"/>
          <w:sz w:val="28"/>
        </w:rPr>
        <w:t>
      ЦИИ</w:t>
      </w:r>
      <w:r>
        <w:rPr>
          <w:rFonts w:ascii="Times New Roman"/>
          <w:b w:val="false"/>
          <w:i w:val="false"/>
          <w:color w:val="000000"/>
          <w:vertAlign w:val="subscript"/>
        </w:rPr>
        <w:t>Ti</w:t>
      </w:r>
      <w:r>
        <w:rPr>
          <w:rFonts w:ascii="Times New Roman"/>
          <w:b/>
          <w:i w:val="false"/>
          <w:color w:val="000000"/>
          <w:sz w:val="28"/>
        </w:rPr>
        <w:t xml:space="preserve"> – </w:t>
      </w:r>
      <w:r>
        <w:rPr>
          <w:rFonts w:ascii="Times New Roman"/>
          <w:b w:val="false"/>
          <w:i w:val="false"/>
          <w:color w:val="000000"/>
          <w:sz w:val="28"/>
        </w:rPr>
        <w:t>цена из источника информации на титан губчатый, опубликованная в журнале «Металлургический бюллетень», определяемая как среднеарифметическое значение минимальной и максимальной цены на дату перехода права собственности на товар покупателю по следующей формуле:</w:t>
      </w:r>
    </w:p>
    <w:bookmarkEnd w:id="12"/>
    <w:bookmarkStart w:name="z35" w:id="13"/>
    <w:p>
      <w:pPr>
        <w:spacing w:after="0"/>
        <w:ind w:left="0"/>
        <w:jc w:val="both"/>
      </w:pPr>
      <w:r>
        <w:rPr>
          <w:rFonts w:ascii="Times New Roman"/>
          <w:b w:val="false"/>
          <w:i w:val="false"/>
          <w:color w:val="000000"/>
          <w:sz w:val="28"/>
        </w:rPr>
        <w:t>
                 ЦИИ</w:t>
      </w:r>
      <w:r>
        <w:rPr>
          <w:rFonts w:ascii="Times New Roman"/>
          <w:b w:val="false"/>
          <w:i w:val="false"/>
          <w:color w:val="000000"/>
          <w:vertAlign w:val="subscript"/>
        </w:rPr>
        <w:t>МБ min</w:t>
      </w:r>
      <w:r>
        <w:rPr>
          <w:rFonts w:ascii="Times New Roman"/>
          <w:b w:val="false"/>
          <w:i w:val="false"/>
          <w:color w:val="000000"/>
          <w:sz w:val="28"/>
        </w:rPr>
        <w:t xml:space="preserve"> + ЦИИ</w:t>
      </w:r>
      <w:r>
        <w:rPr>
          <w:rFonts w:ascii="Times New Roman"/>
          <w:b w:val="false"/>
          <w:i w:val="false"/>
          <w:color w:val="000000"/>
          <w:vertAlign w:val="subscript"/>
        </w:rPr>
        <w:t>МБ max</w:t>
      </w:r>
      <w:r>
        <w:br/>
      </w:r>
      <w:r>
        <w:rPr>
          <w:rFonts w:ascii="Times New Roman"/>
          <w:b w:val="false"/>
          <w:i w:val="false"/>
          <w:color w:val="000000"/>
          <w:sz w:val="28"/>
        </w:rPr>
        <w:t>
      ЦИИ</w:t>
      </w:r>
      <w:r>
        <w:rPr>
          <w:rFonts w:ascii="Times New Roman"/>
          <w:b w:val="false"/>
          <w:i w:val="false"/>
          <w:color w:val="000000"/>
          <w:vertAlign w:val="subscript"/>
        </w:rPr>
        <w:t>Тi</w:t>
      </w:r>
      <w:r>
        <w:rPr>
          <w:rFonts w:ascii="Times New Roman"/>
          <w:b w:val="false"/>
          <w:i w:val="false"/>
          <w:color w:val="000000"/>
          <w:sz w:val="28"/>
        </w:rPr>
        <w:t xml:space="preserve"> = -------------------------- , где    </w:t>
      </w:r>
      <w:r>
        <w:br/>
      </w:r>
      <w:r>
        <w:rPr>
          <w:rFonts w:ascii="Times New Roman"/>
          <w:b w:val="false"/>
          <w:i w:val="false"/>
          <w:color w:val="000000"/>
          <w:sz w:val="28"/>
        </w:rPr>
        <w:t xml:space="preserve">
                           2 </w:t>
      </w:r>
    </w:p>
    <w:bookmarkEnd w:id="13"/>
    <w:bookmarkStart w:name="z36" w:id="14"/>
    <w:p>
      <w:pPr>
        <w:spacing w:after="0"/>
        <w:ind w:left="0"/>
        <w:jc w:val="both"/>
      </w:pPr>
      <w:r>
        <w:rPr>
          <w:rFonts w:ascii="Times New Roman"/>
          <w:b w:val="false"/>
          <w:i w:val="false"/>
          <w:color w:val="000000"/>
          <w:sz w:val="28"/>
        </w:rPr>
        <w:t>
      ЦИИ</w:t>
      </w:r>
      <w:r>
        <w:rPr>
          <w:rFonts w:ascii="Times New Roman"/>
          <w:b w:val="false"/>
          <w:i w:val="false"/>
          <w:color w:val="000000"/>
          <w:vertAlign w:val="subscript"/>
        </w:rPr>
        <w:t xml:space="preserve">МБ min. </w:t>
      </w:r>
      <w:r>
        <w:rPr>
          <w:rFonts w:ascii="Times New Roman"/>
          <w:b w:val="false"/>
          <w:i w:val="false"/>
          <w:color w:val="000000"/>
          <w:sz w:val="28"/>
        </w:rPr>
        <w:t>– минимальное значение цены из источника информации на титан губчатый, опубликованной в журнале «Металлургический бюллетень» на дату перехода права собственности покупателю;</w:t>
      </w:r>
      <w:r>
        <w:br/>
      </w:r>
      <w:r>
        <w:rPr>
          <w:rFonts w:ascii="Times New Roman"/>
          <w:b w:val="false"/>
          <w:i w:val="false"/>
          <w:color w:val="000000"/>
          <w:sz w:val="28"/>
        </w:rPr>
        <w:t>
</w:t>
      </w:r>
      <w:r>
        <w:rPr>
          <w:rFonts w:ascii="Times New Roman"/>
          <w:b w:val="false"/>
          <w:i w:val="false"/>
          <w:color w:val="000000"/>
          <w:sz w:val="28"/>
        </w:rPr>
        <w:t>
      ЦИИ</w:t>
      </w:r>
      <w:r>
        <w:rPr>
          <w:rFonts w:ascii="Times New Roman"/>
          <w:b w:val="false"/>
          <w:i w:val="false"/>
          <w:color w:val="000000"/>
          <w:vertAlign w:val="subscript"/>
        </w:rPr>
        <w:t>МБ max.</w:t>
      </w:r>
      <w:r>
        <w:rPr>
          <w:rFonts w:ascii="Times New Roman"/>
          <w:b w:val="false"/>
          <w:i w:val="false"/>
          <w:color w:val="000000"/>
          <w:sz w:val="28"/>
        </w:rPr>
        <w:t xml:space="preserve"> – максимальное значение цены из источника информации на титан губчатый, опубликованной в журнале «Металлургический бюллетень» на дату перехода права собственности покупателю.</w:t>
      </w:r>
      <w:r>
        <w:br/>
      </w:r>
      <w:r>
        <w:rPr>
          <w:rFonts w:ascii="Times New Roman"/>
          <w:b w:val="false"/>
          <w:i w:val="false"/>
          <w:color w:val="000000"/>
          <w:sz w:val="28"/>
        </w:rPr>
        <w:t>
</w:t>
      </w:r>
      <w:r>
        <w:rPr>
          <w:rFonts w:ascii="Times New Roman"/>
          <w:b w:val="false"/>
          <w:i w:val="false"/>
          <w:color w:val="000000"/>
          <w:sz w:val="28"/>
        </w:rPr>
        <w:t>
      При этом ЦИИ</w:t>
      </w:r>
      <w:r>
        <w:rPr>
          <w:rFonts w:ascii="Times New Roman"/>
          <w:b w:val="false"/>
          <w:i w:val="false"/>
          <w:color w:val="000000"/>
          <w:vertAlign w:val="subscript"/>
        </w:rPr>
        <w:t>Ti</w:t>
      </w:r>
      <w:r>
        <w:rPr>
          <w:rFonts w:ascii="Times New Roman"/>
          <w:b w:val="false"/>
          <w:i w:val="false"/>
          <w:color w:val="000000"/>
          <w:sz w:val="28"/>
        </w:rPr>
        <w:t xml:space="preserve"> применяется с учетом пределов ценового коридора и положений </w:t>
      </w:r>
      <w:r>
        <w:rPr>
          <w:rFonts w:ascii="Times New Roman"/>
          <w:b w:val="false"/>
          <w:i w:val="false"/>
          <w:color w:val="000000"/>
          <w:sz w:val="28"/>
        </w:rPr>
        <w:t>главы 3</w:t>
      </w:r>
      <w:r>
        <w:rPr>
          <w:rFonts w:ascii="Times New Roman"/>
          <w:b w:val="false"/>
          <w:i w:val="false"/>
          <w:color w:val="000000"/>
          <w:sz w:val="28"/>
        </w:rPr>
        <w:t> настоящих Правил;</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Ti</w:t>
      </w:r>
      <w:r>
        <w:rPr>
          <w:rFonts w:ascii="Times New Roman"/>
          <w:b w:val="false"/>
          <w:i w:val="false"/>
          <w:color w:val="000000"/>
          <w:sz w:val="28"/>
        </w:rPr>
        <w:t xml:space="preserve"> – понижающий коэффициент, применяемый для определения цены сделки (реализации) на титан губчатый в соответствии со спецификацией покупателя и определяемый из расчета максимально допустимых пределов содержания основных примесей (железо (Fe), хлор (Cl) и кислород (О)), влияющих на качество титана губчатого, определенных ГОСТ, по следующей формуле:</w:t>
      </w:r>
    </w:p>
    <w:bookmarkEnd w:id="14"/>
    <w:p>
      <w:pPr>
        <w:spacing w:after="0"/>
        <w:ind w:left="0"/>
        <w:jc w:val="both"/>
      </w:pPr>
      <w:r>
        <w:rPr>
          <w:rFonts w:ascii="Times New Roman"/>
          <w:b w:val="false"/>
          <w:i w:val="false"/>
          <w:color w:val="000000"/>
          <w:sz w:val="28"/>
        </w:rPr>
        <w:t>                             1</w:t>
      </w:r>
      <w:r>
        <w:br/>
      </w:r>
      <w:r>
        <w:rPr>
          <w:rFonts w:ascii="Times New Roman"/>
          <w:b w:val="false"/>
          <w:i w:val="false"/>
          <w:color w:val="000000"/>
          <w:sz w:val="28"/>
        </w:rPr>
        <w:t>
К</w:t>
      </w:r>
      <w:r>
        <w:rPr>
          <w:rFonts w:ascii="Times New Roman"/>
          <w:b w:val="false"/>
          <w:i w:val="false"/>
          <w:color w:val="000000"/>
          <w:vertAlign w:val="subscript"/>
        </w:rPr>
        <w:t>Ti = ---------------------------------------------------------, где</w:t>
      </w:r>
      <w:r>
        <w:br/>
      </w:r>
      <w:r>
        <w:rPr>
          <w:rFonts w:ascii="Times New Roman"/>
          <w:b w:val="false"/>
          <w:i w:val="false"/>
          <w:color w:val="000000"/>
          <w:sz w:val="28"/>
        </w:rPr>
        <w:t>
    (1+(Fe</w:t>
      </w:r>
      <w:r>
        <w:rPr>
          <w:rFonts w:ascii="Times New Roman"/>
          <w:b w:val="false"/>
          <w:i w:val="false"/>
          <w:color w:val="000000"/>
          <w:vertAlign w:val="subscript"/>
        </w:rPr>
        <w:t>x</w:t>
      </w:r>
      <w:r>
        <w:rPr>
          <w:rFonts w:ascii="Times New Roman"/>
          <w:b w:val="false"/>
          <w:i w:val="false"/>
          <w:color w:val="000000"/>
          <w:sz w:val="28"/>
        </w:rPr>
        <w:t xml:space="preserve"> - Fe</w:t>
      </w:r>
      <w:r>
        <w:rPr>
          <w:rFonts w:ascii="Times New Roman"/>
          <w:b w:val="false"/>
          <w:i w:val="false"/>
          <w:color w:val="000000"/>
          <w:vertAlign w:val="subscript"/>
        </w:rPr>
        <w:t>ГОСТ</w:t>
      </w:r>
      <w:r>
        <w:rPr>
          <w:rFonts w:ascii="Times New Roman"/>
          <w:b w:val="false"/>
          <w:i w:val="false"/>
          <w:color w:val="000000"/>
          <w:sz w:val="28"/>
        </w:rPr>
        <w:t>)) х (1+(O</w:t>
      </w:r>
      <w:r>
        <w:rPr>
          <w:rFonts w:ascii="Times New Roman"/>
          <w:b w:val="false"/>
          <w:i w:val="false"/>
          <w:color w:val="000000"/>
          <w:vertAlign w:val="subscript"/>
        </w:rPr>
        <w:t xml:space="preserve">x </w:t>
      </w:r>
      <w:r>
        <w:rPr>
          <w:rFonts w:ascii="Times New Roman"/>
          <w:b w:val="false"/>
          <w:i w:val="false"/>
          <w:color w:val="000000"/>
          <w:sz w:val="28"/>
        </w:rPr>
        <w:t>- O</w:t>
      </w:r>
      <w:r>
        <w:rPr>
          <w:rFonts w:ascii="Times New Roman"/>
          <w:b w:val="false"/>
          <w:i w:val="false"/>
          <w:color w:val="000000"/>
          <w:vertAlign w:val="subscript"/>
        </w:rPr>
        <w:t>ГОСТ</w:t>
      </w:r>
      <w:r>
        <w:rPr>
          <w:rFonts w:ascii="Times New Roman"/>
          <w:b w:val="false"/>
          <w:i w:val="false"/>
          <w:color w:val="000000"/>
          <w:sz w:val="28"/>
        </w:rPr>
        <w:t>)) х (1+(Cl</w:t>
      </w:r>
      <w:r>
        <w:rPr>
          <w:rFonts w:ascii="Times New Roman"/>
          <w:b w:val="false"/>
          <w:i w:val="false"/>
          <w:color w:val="000000"/>
          <w:vertAlign w:val="subscript"/>
        </w:rPr>
        <w:t xml:space="preserve">x </w:t>
      </w:r>
      <w:r>
        <w:rPr>
          <w:rFonts w:ascii="Times New Roman"/>
          <w:b w:val="false"/>
          <w:i w:val="false"/>
          <w:color w:val="000000"/>
          <w:sz w:val="28"/>
        </w:rPr>
        <w:t>- Cl</w:t>
      </w:r>
      <w:r>
        <w:rPr>
          <w:rFonts w:ascii="Times New Roman"/>
          <w:b w:val="false"/>
          <w:i w:val="false"/>
          <w:color w:val="000000"/>
          <w:vertAlign w:val="subscript"/>
        </w:rPr>
        <w:t>ГОСТ</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9252"/>
      </w:tblGrid>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t>
            </w:r>
            <w:r>
              <w:rPr>
                <w:rFonts w:ascii="Times New Roman"/>
                <w:b w:val="false"/>
                <w:i w:val="false"/>
                <w:color w:val="000000"/>
                <w:vertAlign w:val="subscript"/>
              </w:rPr>
              <w:t>x</w:t>
            </w:r>
            <w:r>
              <w:rPr>
                <w:rFonts w:ascii="Times New Roman"/>
                <w:b w:val="false"/>
                <w:i w:val="false"/>
                <w:color w:val="000000"/>
                <w:sz w:val="20"/>
              </w:rPr>
              <w:t xml:space="preserve"> – железо</w:t>
            </w:r>
          </w:p>
        </w:tc>
        <w:tc>
          <w:tcPr>
            <w:tcW w:w="9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 допустимое содержание примесей в</w:t>
            </w:r>
            <w:r>
              <w:br/>
            </w:r>
            <w:r>
              <w:rPr>
                <w:rFonts w:ascii="Times New Roman"/>
                <w:b w:val="false"/>
                <w:i w:val="false"/>
                <w:color w:val="000000"/>
                <w:sz w:val="20"/>
              </w:rPr>
              <w:t>
высших марках титана губчатого в</w:t>
            </w:r>
            <w:r>
              <w:br/>
            </w:r>
            <w:r>
              <w:rPr>
                <w:rFonts w:ascii="Times New Roman"/>
                <w:b w:val="false"/>
                <w:i w:val="false"/>
                <w:color w:val="000000"/>
                <w:sz w:val="20"/>
              </w:rPr>
              <w:t>
соответствии со спецификациями покупателей</w:t>
            </w:r>
            <w:r>
              <w:br/>
            </w:r>
            <w:r>
              <w:rPr>
                <w:rFonts w:ascii="Times New Roman"/>
                <w:b w:val="false"/>
                <w:i w:val="false"/>
                <w:color w:val="000000"/>
                <w:sz w:val="20"/>
              </w:rPr>
              <w:t>
(в процентах);</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vertAlign w:val="subscript"/>
              </w:rPr>
              <w:t>x</w:t>
            </w:r>
            <w:r>
              <w:rPr>
                <w:rFonts w:ascii="Times New Roman"/>
                <w:b w:val="false"/>
                <w:i w:val="false"/>
                <w:color w:val="000000"/>
                <w:sz w:val="20"/>
              </w:rPr>
              <w:t xml:space="preserve"> – кислород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r>
              <w:rPr>
                <w:rFonts w:ascii="Times New Roman"/>
                <w:b w:val="false"/>
                <w:i w:val="false"/>
                <w:color w:val="000000"/>
                <w:vertAlign w:val="subscript"/>
              </w:rPr>
              <w:t>x</w:t>
            </w:r>
            <w:r>
              <w:rPr>
                <w:rFonts w:ascii="Times New Roman"/>
                <w:b w:val="false"/>
                <w:i w:val="false"/>
                <w:color w:val="000000"/>
                <w:sz w:val="20"/>
              </w:rPr>
              <w:t xml:space="preserve"> – хлор</w:t>
            </w:r>
          </w:p>
        </w:tc>
        <w:tc>
          <w:tcPr>
            <w:tcW w:w="0" w:type="auto"/>
            <w:vMerge/>
            <w:tcBorders>
              <w:top w:val="nil"/>
              <w:left w:val="single" w:color="cfcfcf" w:sz="5"/>
              <w:bottom w:val="single" w:color="cfcfcf" w:sz="5"/>
              <w:right w:val="single" w:color="cfcfcf" w:sz="5"/>
            </w:tcBorders>
          </w:tcP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 </w:t>
            </w:r>
            <w:r>
              <w:rPr>
                <w:rFonts w:ascii="Times New Roman"/>
                <w:b w:val="false"/>
                <w:i w:val="false"/>
                <w:color w:val="000000"/>
                <w:vertAlign w:val="subscript"/>
              </w:rPr>
              <w:t>ГОСТ</w:t>
            </w:r>
            <w:r>
              <w:rPr>
                <w:rFonts w:ascii="Times New Roman"/>
                <w:b w:val="false"/>
                <w:i w:val="false"/>
                <w:color w:val="000000"/>
                <w:sz w:val="20"/>
              </w:rPr>
              <w:t xml:space="preserve"> – железо</w:t>
            </w:r>
          </w:p>
        </w:tc>
        <w:tc>
          <w:tcPr>
            <w:tcW w:w="9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 допустимое содержание примесей в</w:t>
            </w:r>
            <w:r>
              <w:br/>
            </w:r>
            <w:r>
              <w:rPr>
                <w:rFonts w:ascii="Times New Roman"/>
                <w:b w:val="false"/>
                <w:i w:val="false"/>
                <w:color w:val="000000"/>
                <w:sz w:val="20"/>
              </w:rPr>
              <w:t>
высших марках титана губчатого в соответствии</w:t>
            </w:r>
            <w:r>
              <w:br/>
            </w:r>
            <w:r>
              <w:rPr>
                <w:rFonts w:ascii="Times New Roman"/>
                <w:b w:val="false"/>
                <w:i w:val="false"/>
                <w:color w:val="000000"/>
                <w:sz w:val="20"/>
              </w:rPr>
              <w:t>
с ГОСТ (в процентах).</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 </w:t>
            </w:r>
            <w:r>
              <w:rPr>
                <w:rFonts w:ascii="Times New Roman"/>
                <w:b w:val="false"/>
                <w:i w:val="false"/>
                <w:color w:val="000000"/>
                <w:vertAlign w:val="subscript"/>
              </w:rPr>
              <w:t>ГОСТ</w:t>
            </w:r>
            <w:r>
              <w:rPr>
                <w:rFonts w:ascii="Times New Roman"/>
                <w:b w:val="false"/>
                <w:i w:val="false"/>
                <w:color w:val="000000"/>
                <w:sz w:val="20"/>
              </w:rPr>
              <w:t xml:space="preserve"> – кислород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 </w:t>
            </w:r>
            <w:r>
              <w:rPr>
                <w:rFonts w:ascii="Times New Roman"/>
                <w:b w:val="false"/>
                <w:i w:val="false"/>
                <w:color w:val="000000"/>
                <w:vertAlign w:val="subscript"/>
              </w:rPr>
              <w:t>ГОСТ</w:t>
            </w:r>
            <w:r>
              <w:rPr>
                <w:rFonts w:ascii="Times New Roman"/>
                <w:b w:val="false"/>
                <w:i w:val="false"/>
                <w:color w:val="000000"/>
                <w:sz w:val="20"/>
              </w:rPr>
              <w:t xml:space="preserve"> – хлор</w:t>
            </w:r>
          </w:p>
        </w:tc>
        <w:tc>
          <w:tcPr>
            <w:tcW w:w="0" w:type="auto"/>
            <w:vMerge/>
            <w:tcBorders>
              <w:top w:val="nil"/>
              <w:left w:val="single" w:color="cfcfcf" w:sz="5"/>
              <w:bottom w:val="single" w:color="cfcfcf" w:sz="5"/>
              <w:right w:val="single" w:color="cfcfcf" w:sz="5"/>
            </w:tcBorders>
          </w:tcPr>
          <w:p/>
        </w:tc>
      </w:tr>
    </w:tbl>
    <w:bookmarkStart w:name="z41"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sz w:val="28"/>
        </w:rPr>
        <w:t xml:space="preserve"> – дифференциал, учитываемый в зависимости от условий поставки титана губчатого, определенных в долгосрочном контракте.</w:t>
      </w:r>
    </w:p>
    <w:bookmarkEnd w:id="15"/>
    <w:bookmarkStart w:name="z42" w:id="16"/>
    <w:p>
      <w:pPr>
        <w:spacing w:after="0"/>
        <w:ind w:left="0"/>
        <w:jc w:val="left"/>
      </w:pPr>
      <w:r>
        <w:rPr>
          <w:rFonts w:ascii="Times New Roman"/>
          <w:b/>
          <w:i w:val="false"/>
          <w:color w:val="000000"/>
        </w:rPr>
        <w:t xml:space="preserve"> 
5. Порядок определения цены сделки (реализации)</w:t>
      </w:r>
      <w:r>
        <w:br/>
      </w:r>
      <w:r>
        <w:rPr>
          <w:rFonts w:ascii="Times New Roman"/>
          <w:b/>
          <w:i w:val="false"/>
          <w:color w:val="000000"/>
        </w:rPr>
        <w:t>
на титановые слитки</w:t>
      </w:r>
    </w:p>
    <w:bookmarkEnd w:id="16"/>
    <w:bookmarkStart w:name="z43" w:id="17"/>
    <w:p>
      <w:pPr>
        <w:spacing w:after="0"/>
        <w:ind w:left="0"/>
        <w:jc w:val="both"/>
      </w:pPr>
      <w:r>
        <w:rPr>
          <w:rFonts w:ascii="Times New Roman"/>
          <w:b w:val="false"/>
          <w:i w:val="false"/>
          <w:color w:val="000000"/>
          <w:sz w:val="28"/>
        </w:rPr>
        <w:t>
      Для долгосрочного контракта купли-продажи титановых слитков цена сделки (реализации) рассчитывается по следующей формуле:</w:t>
      </w:r>
    </w:p>
    <w:bookmarkEnd w:id="17"/>
    <w:p>
      <w:pPr>
        <w:spacing w:after="0"/>
        <w:ind w:left="0"/>
        <w:jc w:val="both"/>
      </w:pPr>
      <w:r>
        <w:rPr>
          <w:rFonts w:ascii="Times New Roman"/>
          <w:b w:val="false"/>
          <w:i w:val="false"/>
          <w:color w:val="000000"/>
          <w:sz w:val="28"/>
        </w:rPr>
        <w:t>           ЦС</w:t>
      </w:r>
      <w:r>
        <w:rPr>
          <w:rFonts w:ascii="Times New Roman"/>
          <w:b w:val="false"/>
          <w:i w:val="false"/>
          <w:color w:val="000000"/>
          <w:vertAlign w:val="subscript"/>
        </w:rPr>
        <w:t>Ingot</w:t>
      </w:r>
      <w:r>
        <w:rPr>
          <w:rFonts w:ascii="Times New Roman"/>
          <w:b w:val="false"/>
          <w:i w:val="false"/>
          <w:color w:val="000000"/>
          <w:sz w:val="28"/>
        </w:rPr>
        <w:t> </w:t>
      </w:r>
      <w:r>
        <w:rPr>
          <w:rFonts w:ascii="Times New Roman"/>
          <w:b w:val="false"/>
          <w:i w:val="false"/>
          <w:color w:val="000000"/>
          <w:sz w:val="28"/>
          <w:u w:val="single"/>
        </w:rPr>
        <w:t>&gt;</w:t>
      </w:r>
      <w:r>
        <w:rPr>
          <w:rFonts w:ascii="Times New Roman"/>
          <w:b w:val="false"/>
          <w:i w:val="false"/>
          <w:color w:val="000000"/>
          <w:sz w:val="28"/>
        </w:rPr>
        <w:t xml:space="preserve"> ЦИИ</w:t>
      </w:r>
      <w:r>
        <w:rPr>
          <w:rFonts w:ascii="Times New Roman"/>
          <w:b w:val="false"/>
          <w:i w:val="false"/>
          <w:color w:val="000000"/>
          <w:vertAlign w:val="subscript"/>
        </w:rPr>
        <w:t>Ingot</w:t>
      </w:r>
      <w:r>
        <w:rPr>
          <w:rFonts w:ascii="Times New Roman"/>
          <w:b w:val="false"/>
          <w:i w:val="false"/>
          <w:color w:val="000000"/>
          <w:sz w:val="28"/>
        </w:rPr>
        <w:t xml:space="preserve"> х К</w:t>
      </w:r>
      <w:r>
        <w:rPr>
          <w:rFonts w:ascii="Times New Roman"/>
          <w:b w:val="false"/>
          <w:i w:val="false"/>
          <w:color w:val="000000"/>
          <w:vertAlign w:val="subscript"/>
        </w:rPr>
        <w:t>Ingot</w:t>
      </w:r>
      <w:r>
        <w:rPr>
          <w:rFonts w:ascii="Times New Roman"/>
          <w:b w:val="false"/>
          <w:i w:val="false"/>
          <w:color w:val="000000"/>
          <w:sz w:val="28"/>
        </w:rPr>
        <w:t xml:space="preserve"> - </w:t>
      </w:r>
      <w:r>
        <w:rPr>
          <w:rFonts w:ascii="Times New Roman"/>
          <w:b w:val="false"/>
          <w:i w:val="false"/>
          <w:color w:val="000000"/>
          <w:sz w:val="28"/>
          <w:u w:val="single"/>
        </w:rPr>
        <w:t>/\</w:t>
      </w:r>
      <w:r>
        <w:rPr>
          <w:rFonts w:ascii="Times New Roman"/>
          <w:b w:val="false"/>
          <w:i w:val="false"/>
          <w:color w:val="000000"/>
          <w:vertAlign w:val="subscript"/>
        </w:rPr>
        <w:t> </w:t>
      </w:r>
      <w:r>
        <w:rPr>
          <w:rFonts w:ascii="Times New Roman"/>
          <w:b w:val="false"/>
          <w:i w:val="false"/>
          <w:color w:val="000000"/>
          <w:sz w:val="28"/>
        </w:rPr>
        <w:t>, где</w:t>
      </w:r>
    </w:p>
    <w:bookmarkStart w:name="z45" w:id="18"/>
    <w:p>
      <w:pPr>
        <w:spacing w:after="0"/>
        <w:ind w:left="0"/>
        <w:jc w:val="both"/>
      </w:pPr>
      <w:r>
        <w:rPr>
          <w:rFonts w:ascii="Times New Roman"/>
          <w:b w:val="false"/>
          <w:i w:val="false"/>
          <w:color w:val="000000"/>
          <w:sz w:val="28"/>
        </w:rPr>
        <w:t>
      ЦС</w:t>
      </w:r>
      <w:r>
        <w:rPr>
          <w:rFonts w:ascii="Times New Roman"/>
          <w:b w:val="false"/>
          <w:i w:val="false"/>
          <w:color w:val="000000"/>
          <w:vertAlign w:val="subscript"/>
        </w:rPr>
        <w:t>Ingot</w:t>
      </w:r>
      <w:r>
        <w:rPr>
          <w:rFonts w:ascii="Times New Roman"/>
          <w:b w:val="false"/>
          <w:i w:val="false"/>
          <w:color w:val="000000"/>
          <w:vertAlign w:val="subscript"/>
        </w:rPr>
        <w:t> </w:t>
      </w:r>
      <w:r>
        <w:rPr>
          <w:rFonts w:ascii="Times New Roman"/>
          <w:b w:val="false"/>
          <w:i w:val="false"/>
          <w:color w:val="000000"/>
          <w:sz w:val="28"/>
        </w:rPr>
        <w:t>– цена сделки (реализации) на титановые слитки на дату перехода права собственности покупателю;</w:t>
      </w:r>
      <w:r>
        <w:br/>
      </w:r>
      <w:r>
        <w:rPr>
          <w:rFonts w:ascii="Times New Roman"/>
          <w:b w:val="false"/>
          <w:i w:val="false"/>
          <w:color w:val="000000"/>
          <w:sz w:val="28"/>
        </w:rPr>
        <w:t>
</w:t>
      </w:r>
      <w:r>
        <w:rPr>
          <w:rFonts w:ascii="Times New Roman"/>
          <w:b w:val="false"/>
          <w:i w:val="false"/>
          <w:color w:val="000000"/>
          <w:sz w:val="28"/>
        </w:rPr>
        <w:t>
      ЦИИ</w:t>
      </w:r>
      <w:r>
        <w:rPr>
          <w:rFonts w:ascii="Times New Roman"/>
          <w:b w:val="false"/>
          <w:i w:val="false"/>
          <w:color w:val="000000"/>
          <w:vertAlign w:val="subscript"/>
        </w:rPr>
        <w:t>Ingot</w:t>
      </w:r>
      <w:r>
        <w:rPr>
          <w:rFonts w:ascii="Times New Roman"/>
          <w:b w:val="false"/>
          <w:i w:val="false"/>
          <w:color w:val="000000"/>
          <w:vertAlign w:val="subscript"/>
        </w:rPr>
        <w:t> </w:t>
      </w:r>
      <w:r>
        <w:rPr>
          <w:rFonts w:ascii="Times New Roman"/>
          <w:b w:val="false"/>
          <w:i w:val="false"/>
          <w:color w:val="000000"/>
          <w:sz w:val="28"/>
        </w:rPr>
        <w:t>– цена из источника информации на титановые слитки, опубликованная в журнале «Metal Prices», определяемая как среднеарифметическое значение минимальной и максимальной цены на дату перехода права собственности на товар покупателю по следующей формуле:</w:t>
      </w:r>
    </w:p>
    <w:bookmarkEnd w:id="18"/>
    <w:p>
      <w:pPr>
        <w:spacing w:after="0"/>
        <w:ind w:left="0"/>
        <w:jc w:val="both"/>
      </w:pPr>
      <w:r>
        <w:rPr>
          <w:rFonts w:ascii="Times New Roman"/>
          <w:b w:val="false"/>
          <w:i w:val="false"/>
          <w:color w:val="000000"/>
          <w:sz w:val="28"/>
        </w:rPr>
        <w:t>                    ЦИИ</w:t>
      </w:r>
      <w:r>
        <w:rPr>
          <w:rFonts w:ascii="Times New Roman"/>
          <w:b w:val="false"/>
          <w:i w:val="false"/>
          <w:color w:val="000000"/>
          <w:vertAlign w:val="subscript"/>
        </w:rPr>
        <w:t>МР min</w:t>
      </w:r>
      <w:r>
        <w:rPr>
          <w:rFonts w:ascii="Times New Roman"/>
          <w:b w:val="false"/>
          <w:i w:val="false"/>
          <w:color w:val="000000"/>
          <w:sz w:val="28"/>
        </w:rPr>
        <w:t xml:space="preserve"> + ЦИИ</w:t>
      </w:r>
      <w:r>
        <w:rPr>
          <w:rFonts w:ascii="Times New Roman"/>
          <w:b w:val="false"/>
          <w:i w:val="false"/>
          <w:color w:val="000000"/>
          <w:vertAlign w:val="subscript"/>
        </w:rPr>
        <w:t>МР max</w:t>
      </w:r>
      <w:r>
        <w:br/>
      </w:r>
      <w:r>
        <w:rPr>
          <w:rFonts w:ascii="Times New Roman"/>
          <w:b w:val="false"/>
          <w:i w:val="false"/>
          <w:color w:val="000000"/>
          <w:sz w:val="28"/>
        </w:rPr>
        <w:t>
      ЦИИ</w:t>
      </w:r>
      <w:r>
        <w:rPr>
          <w:rFonts w:ascii="Times New Roman"/>
          <w:b w:val="false"/>
          <w:i w:val="false"/>
          <w:color w:val="000000"/>
          <w:vertAlign w:val="subscript"/>
        </w:rPr>
        <w:t>Ingot</w:t>
      </w:r>
      <w:r>
        <w:rPr>
          <w:rFonts w:ascii="Times New Roman"/>
          <w:b w:val="false"/>
          <w:i w:val="false"/>
          <w:color w:val="000000"/>
          <w:sz w:val="28"/>
        </w:rPr>
        <w:t xml:space="preserve"> = -------------------------- , где</w:t>
      </w:r>
      <w:r>
        <w:br/>
      </w:r>
      <w:r>
        <w:rPr>
          <w:rFonts w:ascii="Times New Roman"/>
          <w:b w:val="false"/>
          <w:i w:val="false"/>
          <w:color w:val="000000"/>
          <w:sz w:val="28"/>
        </w:rPr>
        <w:t xml:space="preserve">
                           2 </w:t>
      </w:r>
    </w:p>
    <w:bookmarkStart w:name="z48" w:id="19"/>
    <w:p>
      <w:pPr>
        <w:spacing w:after="0"/>
        <w:ind w:left="0"/>
        <w:jc w:val="both"/>
      </w:pPr>
      <w:r>
        <w:rPr>
          <w:rFonts w:ascii="Times New Roman"/>
          <w:b w:val="false"/>
          <w:i w:val="false"/>
          <w:color w:val="000000"/>
          <w:sz w:val="28"/>
        </w:rPr>
        <w:t>
      ЦИИ</w:t>
      </w:r>
      <w:r>
        <w:rPr>
          <w:rFonts w:ascii="Times New Roman"/>
          <w:b w:val="false"/>
          <w:i w:val="false"/>
          <w:color w:val="000000"/>
          <w:vertAlign w:val="subscript"/>
        </w:rPr>
        <w:t>MP min.</w:t>
      </w:r>
      <w:r>
        <w:rPr>
          <w:rFonts w:ascii="Times New Roman"/>
          <w:b w:val="false"/>
          <w:i w:val="false"/>
          <w:color w:val="000000"/>
          <w:sz w:val="28"/>
        </w:rPr>
        <w:t xml:space="preserve"> – минимальное значение цены из источника информации на титановые слитки, опубликованной в журнале «Metal Prices» на дату перехода права собственности покупателю;</w:t>
      </w:r>
      <w:r>
        <w:br/>
      </w:r>
      <w:r>
        <w:rPr>
          <w:rFonts w:ascii="Times New Roman"/>
          <w:b w:val="false"/>
          <w:i w:val="false"/>
          <w:color w:val="000000"/>
          <w:sz w:val="28"/>
        </w:rPr>
        <w:t>
</w:t>
      </w:r>
      <w:r>
        <w:rPr>
          <w:rFonts w:ascii="Times New Roman"/>
          <w:b w:val="false"/>
          <w:i w:val="false"/>
          <w:color w:val="000000"/>
          <w:sz w:val="28"/>
        </w:rPr>
        <w:t>
      ЦИИ</w:t>
      </w:r>
      <w:r>
        <w:rPr>
          <w:rFonts w:ascii="Times New Roman"/>
          <w:b w:val="false"/>
          <w:i w:val="false"/>
          <w:color w:val="000000"/>
          <w:vertAlign w:val="subscript"/>
        </w:rPr>
        <w:t>MP max.</w:t>
      </w:r>
      <w:r>
        <w:rPr>
          <w:rFonts w:ascii="Times New Roman"/>
          <w:b w:val="false"/>
          <w:i w:val="false"/>
          <w:color w:val="000000"/>
          <w:sz w:val="28"/>
        </w:rPr>
        <w:t xml:space="preserve"> – максимальное значение цены из источника информации на титановые слитки, опубликованной в журнале «Metal Prices» на дату перехода права собственности покупателю.</w:t>
      </w:r>
      <w:r>
        <w:br/>
      </w:r>
      <w:r>
        <w:rPr>
          <w:rFonts w:ascii="Times New Roman"/>
          <w:b w:val="false"/>
          <w:i w:val="false"/>
          <w:color w:val="000000"/>
          <w:sz w:val="28"/>
        </w:rPr>
        <w:t>
</w:t>
      </w:r>
      <w:r>
        <w:rPr>
          <w:rFonts w:ascii="Times New Roman"/>
          <w:b w:val="false"/>
          <w:i w:val="false"/>
          <w:color w:val="000000"/>
          <w:sz w:val="28"/>
        </w:rPr>
        <w:t>
      При этом ЦИИ</w:t>
      </w:r>
      <w:r>
        <w:rPr>
          <w:rFonts w:ascii="Times New Roman"/>
          <w:b w:val="false"/>
          <w:i w:val="false"/>
          <w:color w:val="000000"/>
          <w:vertAlign w:val="subscript"/>
        </w:rPr>
        <w:t>Ingot</w:t>
      </w:r>
      <w:r>
        <w:rPr>
          <w:rFonts w:ascii="Times New Roman"/>
          <w:b w:val="false"/>
          <w:i w:val="false"/>
          <w:color w:val="000000"/>
          <w:sz w:val="28"/>
        </w:rPr>
        <w:t xml:space="preserve"> применяется с учетом пределов ценового коридора и положений </w:t>
      </w:r>
      <w:r>
        <w:rPr>
          <w:rFonts w:ascii="Times New Roman"/>
          <w:b w:val="false"/>
          <w:i w:val="false"/>
          <w:color w:val="000000"/>
          <w:sz w:val="28"/>
        </w:rPr>
        <w:t>главы 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Ingot</w:t>
      </w:r>
      <w:r>
        <w:rPr>
          <w:rFonts w:ascii="Times New Roman"/>
          <w:b w:val="false"/>
          <w:i w:val="false"/>
          <w:color w:val="000000"/>
          <w:sz w:val="28"/>
        </w:rPr>
        <w:t xml:space="preserve"> – понижающий коэффициент, применяемый для определения цены сделки (реализации) на титановые слитки в соответствии со спецификацией покупателя, определяемый из расчета максимально допустимых пределов содержания основных примесей (железо (Fe), кислород (О), азот (N), водород (H), углерод (С), ванадий (V), алюминий (Al), иттрий (Y), кремний (Si), бор (B), медь (Cu), рутений (Ru), палладий (Pd)), влияющих на качество титановых слитков, определенных Стандартом B 348-09, по следующей формуле:</w:t>
      </w:r>
    </w:p>
    <w:bookmarkEnd w:id="19"/>
    <w:bookmarkStart w:name="z52" w:id="20"/>
    <w:p>
      <w:pPr>
        <w:spacing w:after="0"/>
        <w:ind w:left="0"/>
        <w:jc w:val="both"/>
      </w:pPr>
      <w:r>
        <w:rPr>
          <w:rFonts w:ascii="Times New Roman"/>
          <w:b w:val="false"/>
          <w:i w:val="false"/>
          <w:color w:val="000000"/>
          <w:sz w:val="28"/>
        </w:rPr>
        <w:t>
                              1</w:t>
      </w:r>
      <w:r>
        <w:br/>
      </w:r>
      <w:r>
        <w:rPr>
          <w:rFonts w:ascii="Times New Roman"/>
          <w:b w:val="false"/>
          <w:i w:val="false"/>
          <w:color w:val="000000"/>
          <w:sz w:val="28"/>
        </w:rPr>
        <w:t>
К</w:t>
      </w:r>
      <w:r>
        <w:rPr>
          <w:rFonts w:ascii="Times New Roman"/>
          <w:b w:val="false"/>
          <w:i w:val="false"/>
          <w:color w:val="000000"/>
          <w:vertAlign w:val="subscript"/>
        </w:rPr>
        <w:t xml:space="preserve">Ingot = -----------------------------------------------------, </w:t>
      </w:r>
      <w:r>
        <w:rPr>
          <w:rFonts w:ascii="Times New Roman"/>
          <w:b w:val="false"/>
          <w:i w:val="false"/>
          <w:color w:val="000000"/>
          <w:sz w:val="28"/>
        </w:rPr>
        <w:t>где</w:t>
      </w:r>
      <w:r>
        <w:br/>
      </w:r>
      <w:r>
        <w:rPr>
          <w:rFonts w:ascii="Times New Roman"/>
          <w:b w:val="false"/>
          <w:i w:val="false"/>
          <w:color w:val="000000"/>
          <w:sz w:val="28"/>
        </w:rPr>
        <w:t>
       (1+(Fe</w:t>
      </w:r>
      <w:r>
        <w:rPr>
          <w:rFonts w:ascii="Times New Roman"/>
          <w:b w:val="false"/>
          <w:i w:val="false"/>
          <w:color w:val="000000"/>
          <w:vertAlign w:val="subscript"/>
        </w:rPr>
        <w:t>x</w:t>
      </w:r>
      <w:r>
        <w:rPr>
          <w:rFonts w:ascii="Times New Roman"/>
          <w:b w:val="false"/>
          <w:i w:val="false"/>
          <w:color w:val="000000"/>
          <w:sz w:val="28"/>
        </w:rPr>
        <w:t xml:space="preserve"> – Fe</w:t>
      </w:r>
      <w:r>
        <w:rPr>
          <w:rFonts w:ascii="Times New Roman"/>
          <w:b w:val="false"/>
          <w:i w:val="false"/>
          <w:color w:val="000000"/>
          <w:vertAlign w:val="subscript"/>
        </w:rPr>
        <w:t>Ingot</w:t>
      </w:r>
      <w:r>
        <w:rPr>
          <w:rFonts w:ascii="Times New Roman"/>
          <w:b w:val="false"/>
          <w:i w:val="false"/>
          <w:color w:val="000000"/>
          <w:sz w:val="28"/>
        </w:rPr>
        <w:t>))х(1+(О</w:t>
      </w:r>
      <w:r>
        <w:rPr>
          <w:rFonts w:ascii="Times New Roman"/>
          <w:b w:val="false"/>
          <w:i w:val="false"/>
          <w:color w:val="000000"/>
          <w:vertAlign w:val="subscript"/>
        </w:rPr>
        <w:t>x</w:t>
      </w:r>
      <w:r>
        <w:rPr>
          <w:rFonts w:ascii="Times New Roman"/>
          <w:b w:val="false"/>
          <w:i w:val="false"/>
          <w:color w:val="000000"/>
          <w:sz w:val="28"/>
        </w:rPr>
        <w:t xml:space="preserve"> – O</w:t>
      </w:r>
      <w:r>
        <w:rPr>
          <w:rFonts w:ascii="Times New Roman"/>
          <w:b w:val="false"/>
          <w:i w:val="false"/>
          <w:color w:val="000000"/>
          <w:vertAlign w:val="subscript"/>
        </w:rPr>
        <w:t>Ingot</w:t>
      </w:r>
      <w:r>
        <w:rPr>
          <w:rFonts w:ascii="Times New Roman"/>
          <w:b w:val="false"/>
          <w:i w:val="false"/>
          <w:color w:val="000000"/>
          <w:sz w:val="28"/>
        </w:rPr>
        <w:t>))х(1+(N</w:t>
      </w:r>
      <w:r>
        <w:rPr>
          <w:rFonts w:ascii="Times New Roman"/>
          <w:b w:val="false"/>
          <w:i w:val="false"/>
          <w:color w:val="000000"/>
          <w:vertAlign w:val="subscript"/>
        </w:rPr>
        <w:t>x</w:t>
      </w:r>
      <w:r>
        <w:rPr>
          <w:rFonts w:ascii="Times New Roman"/>
          <w:b w:val="false"/>
          <w:i w:val="false"/>
          <w:color w:val="000000"/>
          <w:sz w:val="28"/>
        </w:rPr>
        <w:t xml:space="preserve"> – N</w:t>
      </w:r>
      <w:r>
        <w:rPr>
          <w:rFonts w:ascii="Times New Roman"/>
          <w:b w:val="false"/>
          <w:i w:val="false"/>
          <w:color w:val="000000"/>
          <w:vertAlign w:val="subscript"/>
        </w:rPr>
        <w:t>Ingot</w:t>
      </w:r>
      <w:r>
        <w:rPr>
          <w:rFonts w:ascii="Times New Roman"/>
          <w:b w:val="false"/>
          <w:i w:val="false"/>
          <w:color w:val="000000"/>
          <w:sz w:val="28"/>
        </w:rPr>
        <w:t xml:space="preserve">))х   </w:t>
      </w:r>
      <w:r>
        <w:br/>
      </w:r>
      <w:r>
        <w:rPr>
          <w:rFonts w:ascii="Times New Roman"/>
          <w:b w:val="false"/>
          <w:i w:val="false"/>
          <w:color w:val="000000"/>
          <w:sz w:val="28"/>
        </w:rPr>
        <w:t>
        х(1+(H</w:t>
      </w:r>
      <w:r>
        <w:rPr>
          <w:rFonts w:ascii="Times New Roman"/>
          <w:b w:val="false"/>
          <w:i w:val="false"/>
          <w:color w:val="000000"/>
          <w:vertAlign w:val="subscript"/>
        </w:rPr>
        <w:t>x</w:t>
      </w:r>
      <w:r>
        <w:rPr>
          <w:rFonts w:ascii="Times New Roman"/>
          <w:b w:val="false"/>
          <w:i w:val="false"/>
          <w:color w:val="000000"/>
          <w:sz w:val="28"/>
        </w:rPr>
        <w:t xml:space="preserve"> – H</w:t>
      </w:r>
      <w:r>
        <w:rPr>
          <w:rFonts w:ascii="Times New Roman"/>
          <w:b w:val="false"/>
          <w:i w:val="false"/>
          <w:color w:val="000000"/>
          <w:vertAlign w:val="subscript"/>
        </w:rPr>
        <w:t>Ingot</w:t>
      </w:r>
      <w:r>
        <w:rPr>
          <w:rFonts w:ascii="Times New Roman"/>
          <w:b w:val="false"/>
          <w:i w:val="false"/>
          <w:color w:val="000000"/>
          <w:sz w:val="28"/>
        </w:rPr>
        <w:t>))х(1+(C</w:t>
      </w:r>
      <w:r>
        <w:rPr>
          <w:rFonts w:ascii="Times New Roman"/>
          <w:b w:val="false"/>
          <w:i w:val="false"/>
          <w:color w:val="000000"/>
          <w:vertAlign w:val="subscript"/>
        </w:rPr>
        <w:t>x</w:t>
      </w:r>
      <w:r>
        <w:rPr>
          <w:rFonts w:ascii="Times New Roman"/>
          <w:b w:val="false"/>
          <w:i w:val="false"/>
          <w:color w:val="000000"/>
          <w:sz w:val="28"/>
        </w:rPr>
        <w:t>- C</w:t>
      </w:r>
      <w:r>
        <w:rPr>
          <w:rFonts w:ascii="Times New Roman"/>
          <w:b w:val="false"/>
          <w:i w:val="false"/>
          <w:color w:val="000000"/>
          <w:vertAlign w:val="subscript"/>
        </w:rPr>
        <w:t>Ingot</w:t>
      </w:r>
      <w:r>
        <w:rPr>
          <w:rFonts w:ascii="Times New Roman"/>
          <w:b w:val="false"/>
          <w:i w:val="false"/>
          <w:color w:val="000000"/>
          <w:sz w:val="28"/>
        </w:rPr>
        <w:t>))х(1+(V</w:t>
      </w:r>
      <w:r>
        <w:rPr>
          <w:rFonts w:ascii="Times New Roman"/>
          <w:b w:val="false"/>
          <w:i w:val="false"/>
          <w:color w:val="000000"/>
          <w:vertAlign w:val="subscript"/>
        </w:rPr>
        <w:t>x</w:t>
      </w:r>
      <w:r>
        <w:rPr>
          <w:rFonts w:ascii="Times New Roman"/>
          <w:b w:val="false"/>
          <w:i w:val="false"/>
          <w:color w:val="000000"/>
          <w:sz w:val="28"/>
        </w:rPr>
        <w:t xml:space="preserve"> – V</w:t>
      </w:r>
      <w:r>
        <w:rPr>
          <w:rFonts w:ascii="Times New Roman"/>
          <w:b w:val="false"/>
          <w:i w:val="false"/>
          <w:color w:val="000000"/>
          <w:vertAlign w:val="subscript"/>
        </w:rPr>
        <w:t>Ingot</w:t>
      </w:r>
      <w:r>
        <w:rPr>
          <w:rFonts w:ascii="Times New Roman"/>
          <w:b w:val="false"/>
          <w:i w:val="false"/>
          <w:color w:val="000000"/>
          <w:sz w:val="28"/>
        </w:rPr>
        <w:t>))х</w:t>
      </w:r>
      <w:r>
        <w:br/>
      </w:r>
      <w:r>
        <w:rPr>
          <w:rFonts w:ascii="Times New Roman"/>
          <w:b w:val="false"/>
          <w:i w:val="false"/>
          <w:color w:val="000000"/>
          <w:sz w:val="28"/>
        </w:rPr>
        <w:t>
      х(1+(Al</w:t>
      </w:r>
      <w:r>
        <w:rPr>
          <w:rFonts w:ascii="Times New Roman"/>
          <w:b w:val="false"/>
          <w:i w:val="false"/>
          <w:color w:val="000000"/>
          <w:vertAlign w:val="subscript"/>
        </w:rPr>
        <w:t xml:space="preserve">x </w:t>
      </w:r>
      <w:r>
        <w:rPr>
          <w:rFonts w:ascii="Times New Roman"/>
          <w:b w:val="false"/>
          <w:i w:val="false"/>
          <w:color w:val="000000"/>
          <w:sz w:val="28"/>
        </w:rPr>
        <w:t>– Al</w:t>
      </w:r>
      <w:r>
        <w:rPr>
          <w:rFonts w:ascii="Times New Roman"/>
          <w:b w:val="false"/>
          <w:i w:val="false"/>
          <w:color w:val="000000"/>
          <w:vertAlign w:val="subscript"/>
        </w:rPr>
        <w:t>Ingot</w:t>
      </w:r>
      <w:r>
        <w:rPr>
          <w:rFonts w:ascii="Times New Roman"/>
          <w:b w:val="false"/>
          <w:i w:val="false"/>
          <w:color w:val="000000"/>
          <w:sz w:val="28"/>
        </w:rPr>
        <w:t>))х(1+(Y</w:t>
      </w:r>
      <w:r>
        <w:rPr>
          <w:rFonts w:ascii="Times New Roman"/>
          <w:b w:val="false"/>
          <w:i w:val="false"/>
          <w:color w:val="000000"/>
          <w:vertAlign w:val="subscript"/>
        </w:rPr>
        <w:t>x</w:t>
      </w:r>
      <w:r>
        <w:rPr>
          <w:rFonts w:ascii="Times New Roman"/>
          <w:b w:val="false"/>
          <w:i w:val="false"/>
          <w:color w:val="000000"/>
          <w:sz w:val="28"/>
        </w:rPr>
        <w:t xml:space="preserve"> – Y</w:t>
      </w:r>
      <w:r>
        <w:rPr>
          <w:rFonts w:ascii="Times New Roman"/>
          <w:b w:val="false"/>
          <w:i w:val="false"/>
          <w:color w:val="000000"/>
          <w:vertAlign w:val="subscript"/>
        </w:rPr>
        <w:t>Ingot</w:t>
      </w:r>
      <w:r>
        <w:rPr>
          <w:rFonts w:ascii="Times New Roman"/>
          <w:b w:val="false"/>
          <w:i w:val="false"/>
          <w:color w:val="000000"/>
          <w:sz w:val="28"/>
        </w:rPr>
        <w:t>))х(1+(Si</w:t>
      </w:r>
      <w:r>
        <w:rPr>
          <w:rFonts w:ascii="Times New Roman"/>
          <w:b w:val="false"/>
          <w:i w:val="false"/>
          <w:color w:val="000000"/>
          <w:vertAlign w:val="subscript"/>
        </w:rPr>
        <w:t>x</w:t>
      </w:r>
      <w:r>
        <w:rPr>
          <w:rFonts w:ascii="Times New Roman"/>
          <w:b w:val="false"/>
          <w:i w:val="false"/>
          <w:color w:val="000000"/>
          <w:sz w:val="28"/>
        </w:rPr>
        <w:t xml:space="preserve"> – Si</w:t>
      </w:r>
      <w:r>
        <w:rPr>
          <w:rFonts w:ascii="Times New Roman"/>
          <w:b w:val="false"/>
          <w:i w:val="false"/>
          <w:color w:val="000000"/>
          <w:vertAlign w:val="subscript"/>
        </w:rPr>
        <w:t>Ingot</w:t>
      </w:r>
      <w:r>
        <w:rPr>
          <w:rFonts w:ascii="Times New Roman"/>
          <w:b w:val="false"/>
          <w:i w:val="false"/>
          <w:color w:val="000000"/>
          <w:sz w:val="28"/>
        </w:rPr>
        <w:t>))х</w:t>
      </w:r>
      <w:r>
        <w:br/>
      </w:r>
      <w:r>
        <w:rPr>
          <w:rFonts w:ascii="Times New Roman"/>
          <w:b w:val="false"/>
          <w:i w:val="false"/>
          <w:color w:val="000000"/>
          <w:sz w:val="28"/>
        </w:rPr>
        <w:t>
      х(1+(B</w:t>
      </w:r>
      <w:r>
        <w:rPr>
          <w:rFonts w:ascii="Times New Roman"/>
          <w:b w:val="false"/>
          <w:i w:val="false"/>
          <w:color w:val="000000"/>
          <w:vertAlign w:val="subscript"/>
        </w:rPr>
        <w:t xml:space="preserve">x </w:t>
      </w:r>
      <w:r>
        <w:rPr>
          <w:rFonts w:ascii="Times New Roman"/>
          <w:b w:val="false"/>
          <w:i w:val="false"/>
          <w:color w:val="000000"/>
          <w:sz w:val="28"/>
        </w:rPr>
        <w:t>– B</w:t>
      </w:r>
      <w:r>
        <w:rPr>
          <w:rFonts w:ascii="Times New Roman"/>
          <w:b w:val="false"/>
          <w:i w:val="false"/>
          <w:color w:val="000000"/>
          <w:vertAlign w:val="subscript"/>
        </w:rPr>
        <w:t>Ingot</w:t>
      </w:r>
      <w:r>
        <w:rPr>
          <w:rFonts w:ascii="Times New Roman"/>
          <w:b w:val="false"/>
          <w:i w:val="false"/>
          <w:color w:val="000000"/>
          <w:sz w:val="28"/>
        </w:rPr>
        <w:t>))х(1+(Cu</w:t>
      </w:r>
      <w:r>
        <w:rPr>
          <w:rFonts w:ascii="Times New Roman"/>
          <w:b w:val="false"/>
          <w:i w:val="false"/>
          <w:color w:val="000000"/>
          <w:vertAlign w:val="subscript"/>
        </w:rPr>
        <w:t>x</w:t>
      </w:r>
      <w:r>
        <w:rPr>
          <w:rFonts w:ascii="Times New Roman"/>
          <w:b w:val="false"/>
          <w:i w:val="false"/>
          <w:color w:val="000000"/>
          <w:sz w:val="28"/>
        </w:rPr>
        <w:t xml:space="preserve"> – Cu</w:t>
      </w:r>
      <w:r>
        <w:rPr>
          <w:rFonts w:ascii="Times New Roman"/>
          <w:b w:val="false"/>
          <w:i w:val="false"/>
          <w:color w:val="000000"/>
          <w:vertAlign w:val="subscript"/>
        </w:rPr>
        <w:t>Ingot</w:t>
      </w:r>
      <w:r>
        <w:rPr>
          <w:rFonts w:ascii="Times New Roman"/>
          <w:b w:val="false"/>
          <w:i w:val="false"/>
          <w:color w:val="000000"/>
          <w:sz w:val="28"/>
        </w:rPr>
        <w:t>))х(1+(Ru</w:t>
      </w:r>
      <w:r>
        <w:rPr>
          <w:rFonts w:ascii="Times New Roman"/>
          <w:b w:val="false"/>
          <w:i w:val="false"/>
          <w:color w:val="000000"/>
          <w:vertAlign w:val="subscript"/>
        </w:rPr>
        <w:t xml:space="preserve">x </w:t>
      </w:r>
      <w:r>
        <w:rPr>
          <w:rFonts w:ascii="Times New Roman"/>
          <w:b w:val="false"/>
          <w:i w:val="false"/>
          <w:color w:val="000000"/>
          <w:sz w:val="28"/>
        </w:rPr>
        <w:t>- Ru</w:t>
      </w:r>
      <w:r>
        <w:rPr>
          <w:rFonts w:ascii="Times New Roman"/>
          <w:b w:val="false"/>
          <w:i w:val="false"/>
          <w:color w:val="000000"/>
          <w:vertAlign w:val="subscript"/>
        </w:rPr>
        <w:t>Ingot</w:t>
      </w:r>
      <w:r>
        <w:rPr>
          <w:rFonts w:ascii="Times New Roman"/>
          <w:b w:val="false"/>
          <w:i w:val="false"/>
          <w:color w:val="000000"/>
          <w:sz w:val="28"/>
        </w:rPr>
        <w:t>))х</w:t>
      </w:r>
      <w:r>
        <w:br/>
      </w:r>
      <w:r>
        <w:rPr>
          <w:rFonts w:ascii="Times New Roman"/>
          <w:b w:val="false"/>
          <w:i w:val="false"/>
          <w:color w:val="000000"/>
          <w:sz w:val="28"/>
        </w:rPr>
        <w:t>
      х(1+(Pd</w:t>
      </w:r>
      <w:r>
        <w:rPr>
          <w:rFonts w:ascii="Times New Roman"/>
          <w:b w:val="false"/>
          <w:i w:val="false"/>
          <w:color w:val="000000"/>
          <w:vertAlign w:val="subscript"/>
        </w:rPr>
        <w:t xml:space="preserve">x </w:t>
      </w:r>
      <w:r>
        <w:rPr>
          <w:rFonts w:ascii="Times New Roman"/>
          <w:b w:val="false"/>
          <w:i w:val="false"/>
          <w:color w:val="000000"/>
          <w:sz w:val="28"/>
        </w:rPr>
        <w:t>- Pd</w:t>
      </w:r>
      <w:r>
        <w:rPr>
          <w:rFonts w:ascii="Times New Roman"/>
          <w:b w:val="false"/>
          <w:i w:val="false"/>
          <w:color w:val="000000"/>
          <w:vertAlign w:val="subscript"/>
        </w:rPr>
        <w:t>Ingot</w:t>
      </w:r>
      <w:r>
        <w:rPr>
          <w:rFonts w:ascii="Times New Roman"/>
          <w:b w:val="false"/>
          <w:i w:val="false"/>
          <w:color w:val="000000"/>
          <w:sz w:val="28"/>
        </w:rPr>
        <w:t>))</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6"/>
        <w:gridCol w:w="9394"/>
      </w:tblGrid>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t>
            </w:r>
            <w:r>
              <w:rPr>
                <w:rFonts w:ascii="Times New Roman"/>
                <w:b w:val="false"/>
                <w:i w:val="false"/>
                <w:color w:val="000000"/>
                <w:vertAlign w:val="subscript"/>
              </w:rPr>
              <w:t>x</w:t>
            </w:r>
            <w:r>
              <w:rPr>
                <w:rFonts w:ascii="Times New Roman"/>
                <w:b w:val="false"/>
                <w:i w:val="false"/>
                <w:color w:val="000000"/>
                <w:sz w:val="20"/>
              </w:rPr>
              <w:t xml:space="preserve"> – железо</w:t>
            </w:r>
          </w:p>
        </w:tc>
        <w:tc>
          <w:tcPr>
            <w:tcW w:w="9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 допустимое содержание примесей в</w:t>
            </w:r>
            <w:r>
              <w:br/>
            </w:r>
            <w:r>
              <w:rPr>
                <w:rFonts w:ascii="Times New Roman"/>
                <w:b w:val="false"/>
                <w:i w:val="false"/>
                <w:color w:val="000000"/>
                <w:sz w:val="20"/>
              </w:rPr>
              <w:t>
титановых слитках в соответствии со</w:t>
            </w:r>
            <w:r>
              <w:br/>
            </w:r>
            <w:r>
              <w:rPr>
                <w:rFonts w:ascii="Times New Roman"/>
                <w:b w:val="false"/>
                <w:i w:val="false"/>
                <w:color w:val="000000"/>
                <w:sz w:val="20"/>
              </w:rPr>
              <w:t xml:space="preserve">
спецификациями покупателей (в процентах); </w:t>
            </w:r>
            <w:r>
              <w:br/>
            </w:r>
            <w:r>
              <w:rPr>
                <w:rFonts w:ascii="Times New Roman"/>
                <w:b w:val="false"/>
                <w:i w:val="false"/>
                <w:color w:val="000000"/>
                <w:sz w:val="20"/>
              </w:rPr>
              <w:t>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vertAlign w:val="subscript"/>
              </w:rPr>
              <w:t>x</w:t>
            </w:r>
            <w:r>
              <w:rPr>
                <w:rFonts w:ascii="Times New Roman"/>
                <w:b w:val="false"/>
                <w:i w:val="false"/>
                <w:color w:val="000000"/>
                <w:sz w:val="20"/>
              </w:rPr>
              <w:t xml:space="preserve"> – кислород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x</w:t>
            </w:r>
            <w:r>
              <w:rPr>
                <w:rFonts w:ascii="Times New Roman"/>
                <w:b w:val="false"/>
                <w:i w:val="false"/>
                <w:color w:val="000000"/>
                <w:sz w:val="20"/>
              </w:rPr>
              <w:t xml:space="preserve"> – азот</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x</w:t>
            </w:r>
            <w:r>
              <w:rPr>
                <w:rFonts w:ascii="Times New Roman"/>
                <w:b w:val="false"/>
                <w:i w:val="false"/>
                <w:color w:val="000000"/>
                <w:sz w:val="20"/>
              </w:rPr>
              <w:t xml:space="preserve"> – водород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x</w:t>
            </w:r>
            <w:r>
              <w:rPr>
                <w:rFonts w:ascii="Times New Roman"/>
                <w:b w:val="false"/>
                <w:i w:val="false"/>
                <w:color w:val="000000"/>
                <w:sz w:val="20"/>
              </w:rPr>
              <w:t xml:space="preserve"> – углерод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bscript"/>
              </w:rPr>
              <w:t xml:space="preserve">x </w:t>
            </w:r>
            <w:r>
              <w:rPr>
                <w:rFonts w:ascii="Times New Roman"/>
                <w:b w:val="false"/>
                <w:i w:val="false"/>
                <w:color w:val="000000"/>
                <w:sz w:val="20"/>
              </w:rPr>
              <w:t>  – ванадий</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w:t>
            </w:r>
            <w:r>
              <w:rPr>
                <w:rFonts w:ascii="Times New Roman"/>
                <w:b w:val="false"/>
                <w:i w:val="false"/>
                <w:color w:val="000000"/>
                <w:vertAlign w:val="subscript"/>
              </w:rPr>
              <w:t xml:space="preserve">x </w:t>
            </w:r>
            <w:r>
              <w:rPr>
                <w:rFonts w:ascii="Times New Roman"/>
                <w:b w:val="false"/>
                <w:i w:val="false"/>
                <w:color w:val="000000"/>
                <w:sz w:val="20"/>
              </w:rPr>
              <w:t>– алюминий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r>
              <w:rPr>
                <w:rFonts w:ascii="Times New Roman"/>
                <w:b w:val="false"/>
                <w:i w:val="false"/>
                <w:color w:val="000000"/>
                <w:vertAlign w:val="subscript"/>
              </w:rPr>
              <w:t xml:space="preserve">x </w:t>
            </w:r>
            <w:r>
              <w:rPr>
                <w:rFonts w:ascii="Times New Roman"/>
                <w:b w:val="false"/>
                <w:i w:val="false"/>
                <w:color w:val="000000"/>
                <w:sz w:val="20"/>
              </w:rPr>
              <w:t>– иттрий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w:t>
            </w:r>
            <w:r>
              <w:rPr>
                <w:rFonts w:ascii="Times New Roman"/>
                <w:b w:val="false"/>
                <w:i w:val="false"/>
                <w:color w:val="000000"/>
                <w:vertAlign w:val="subscript"/>
              </w:rPr>
              <w:t xml:space="preserve">x </w:t>
            </w:r>
            <w:r>
              <w:rPr>
                <w:rFonts w:ascii="Times New Roman"/>
                <w:b w:val="false"/>
                <w:i w:val="false"/>
                <w:color w:val="000000"/>
                <w:sz w:val="20"/>
              </w:rPr>
              <w:t>– кремний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vertAlign w:val="subscript"/>
              </w:rPr>
              <w:t xml:space="preserve">x </w:t>
            </w:r>
            <w:r>
              <w:rPr>
                <w:rFonts w:ascii="Times New Roman"/>
                <w:b w:val="false"/>
                <w:i w:val="false"/>
                <w:color w:val="000000"/>
                <w:sz w:val="20"/>
              </w:rPr>
              <w:t>– бор</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w:t>
            </w:r>
            <w:r>
              <w:rPr>
                <w:rFonts w:ascii="Times New Roman"/>
                <w:b w:val="false"/>
                <w:i w:val="false"/>
                <w:color w:val="000000"/>
                <w:vertAlign w:val="subscript"/>
              </w:rPr>
              <w:t xml:space="preserve">x </w:t>
            </w:r>
            <w:r>
              <w:rPr>
                <w:rFonts w:ascii="Times New Roman"/>
                <w:b w:val="false"/>
                <w:i w:val="false"/>
                <w:color w:val="000000"/>
                <w:sz w:val="20"/>
              </w:rPr>
              <w:t>– медь</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w:t>
            </w:r>
            <w:r>
              <w:rPr>
                <w:rFonts w:ascii="Times New Roman"/>
                <w:b w:val="false"/>
                <w:i w:val="false"/>
                <w:color w:val="000000"/>
                <w:vertAlign w:val="subscript"/>
              </w:rPr>
              <w:t xml:space="preserve">x </w:t>
            </w:r>
            <w:r>
              <w:rPr>
                <w:rFonts w:ascii="Times New Roman"/>
                <w:b w:val="false"/>
                <w:i w:val="false"/>
                <w:color w:val="000000"/>
                <w:sz w:val="20"/>
              </w:rPr>
              <w:t xml:space="preserve">– рутений </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w:t>
            </w:r>
            <w:r>
              <w:rPr>
                <w:rFonts w:ascii="Times New Roman"/>
                <w:b w:val="false"/>
                <w:i w:val="false"/>
                <w:color w:val="000000"/>
                <w:vertAlign w:val="subscript"/>
              </w:rPr>
              <w:t>x</w:t>
            </w:r>
            <w:r>
              <w:rPr>
                <w:rFonts w:ascii="Times New Roman"/>
                <w:b w:val="false"/>
                <w:i w:val="false"/>
                <w:color w:val="000000"/>
                <w:sz w:val="20"/>
              </w:rPr>
              <w:t xml:space="preserve"> – палладий   </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t>
            </w:r>
            <w:r>
              <w:rPr>
                <w:rFonts w:ascii="Times New Roman"/>
                <w:b w:val="false"/>
                <w:i w:val="false"/>
                <w:color w:val="000000"/>
                <w:vertAlign w:val="subscript"/>
              </w:rPr>
              <w:t>Ingot</w:t>
            </w:r>
            <w:r>
              <w:rPr>
                <w:rFonts w:ascii="Times New Roman"/>
                <w:b w:val="false"/>
                <w:i w:val="false"/>
                <w:color w:val="000000"/>
                <w:sz w:val="20"/>
              </w:rPr>
              <w:t xml:space="preserve"> – железо</w:t>
            </w:r>
          </w:p>
        </w:tc>
        <w:tc>
          <w:tcPr>
            <w:tcW w:w="9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 допустимое содержание примесей в</w:t>
            </w:r>
            <w:r>
              <w:br/>
            </w:r>
            <w:r>
              <w:rPr>
                <w:rFonts w:ascii="Times New Roman"/>
                <w:b w:val="false"/>
                <w:i w:val="false"/>
                <w:color w:val="000000"/>
                <w:sz w:val="20"/>
              </w:rPr>
              <w:t>
титановых слитках в соответствии со</w:t>
            </w:r>
            <w:r>
              <w:br/>
            </w:r>
            <w:r>
              <w:rPr>
                <w:rFonts w:ascii="Times New Roman"/>
                <w:b w:val="false"/>
                <w:i w:val="false"/>
                <w:color w:val="000000"/>
                <w:sz w:val="20"/>
              </w:rPr>
              <w:t>
Стандартом B 348-09 (в процентах).</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 xml:space="preserve">Ingot </w:t>
            </w:r>
            <w:r>
              <w:rPr>
                <w:rFonts w:ascii="Times New Roman"/>
                <w:b w:val="false"/>
                <w:i w:val="false"/>
                <w:color w:val="000000"/>
                <w:sz w:val="20"/>
              </w:rPr>
              <w:t>– кислород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Ingot</w:t>
            </w:r>
            <w:r>
              <w:rPr>
                <w:rFonts w:ascii="Times New Roman"/>
                <w:b w:val="false"/>
                <w:i w:val="false"/>
                <w:color w:val="000000"/>
                <w:sz w:val="20"/>
              </w:rPr>
              <w:t xml:space="preserve"> – азот</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Ingot</w:t>
            </w:r>
            <w:r>
              <w:rPr>
                <w:rFonts w:ascii="Times New Roman"/>
                <w:b w:val="false"/>
                <w:i w:val="false"/>
                <w:color w:val="000000"/>
                <w:sz w:val="20"/>
              </w:rPr>
              <w:t xml:space="preserve"> – водород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 xml:space="preserve">Ingot </w:t>
            </w:r>
            <w:r>
              <w:rPr>
                <w:rFonts w:ascii="Times New Roman"/>
                <w:b w:val="false"/>
                <w:i w:val="false"/>
                <w:color w:val="000000"/>
                <w:sz w:val="20"/>
              </w:rPr>
              <w:t>– углерод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bscript"/>
              </w:rPr>
              <w:t>Ingot</w:t>
            </w:r>
            <w:r>
              <w:rPr>
                <w:rFonts w:ascii="Times New Roman"/>
                <w:b w:val="false"/>
                <w:i w:val="false"/>
                <w:color w:val="000000"/>
                <w:sz w:val="20"/>
              </w:rPr>
              <w:t xml:space="preserve"> – ванадий</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w:t>
            </w:r>
            <w:r>
              <w:rPr>
                <w:rFonts w:ascii="Times New Roman"/>
                <w:b w:val="false"/>
                <w:i w:val="false"/>
                <w:color w:val="000000"/>
                <w:vertAlign w:val="subscript"/>
              </w:rPr>
              <w:t xml:space="preserve">Ingot </w:t>
            </w:r>
            <w:r>
              <w:rPr>
                <w:rFonts w:ascii="Times New Roman"/>
                <w:b w:val="false"/>
                <w:i w:val="false"/>
                <w:color w:val="000000"/>
                <w:sz w:val="20"/>
              </w:rPr>
              <w:t>–</w:t>
            </w:r>
            <w:r>
              <w:br/>
            </w:r>
            <w:r>
              <w:rPr>
                <w:rFonts w:ascii="Times New Roman"/>
                <w:b w:val="false"/>
                <w:i w:val="false"/>
                <w:color w:val="000000"/>
                <w:sz w:val="20"/>
              </w:rPr>
              <w:t>
        алюминий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r>
              <w:rPr>
                <w:rFonts w:ascii="Times New Roman"/>
                <w:b w:val="false"/>
                <w:i w:val="false"/>
                <w:color w:val="000000"/>
                <w:vertAlign w:val="subscript"/>
              </w:rPr>
              <w:t xml:space="preserve">Ingot </w:t>
            </w:r>
            <w:r>
              <w:rPr>
                <w:rFonts w:ascii="Times New Roman"/>
                <w:b w:val="false"/>
                <w:i w:val="false"/>
                <w:color w:val="000000"/>
                <w:sz w:val="20"/>
              </w:rPr>
              <w:t>– иттрий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w:t>
            </w:r>
            <w:r>
              <w:rPr>
                <w:rFonts w:ascii="Times New Roman"/>
                <w:b w:val="false"/>
                <w:i w:val="false"/>
                <w:color w:val="000000"/>
                <w:vertAlign w:val="subscript"/>
              </w:rPr>
              <w:t xml:space="preserve">Ingot </w:t>
            </w:r>
            <w:r>
              <w:rPr>
                <w:rFonts w:ascii="Times New Roman"/>
                <w:b w:val="false"/>
                <w:i w:val="false"/>
                <w:color w:val="000000"/>
                <w:sz w:val="20"/>
              </w:rPr>
              <w:t>– кремний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vertAlign w:val="subscript"/>
              </w:rPr>
              <w:t xml:space="preserve">Ingot </w:t>
            </w:r>
            <w:r>
              <w:rPr>
                <w:rFonts w:ascii="Times New Roman"/>
                <w:b w:val="false"/>
                <w:i w:val="false"/>
                <w:color w:val="000000"/>
                <w:sz w:val="20"/>
              </w:rPr>
              <w:t>– бор</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w:t>
            </w:r>
            <w:r>
              <w:rPr>
                <w:rFonts w:ascii="Times New Roman"/>
                <w:b w:val="false"/>
                <w:i w:val="false"/>
                <w:color w:val="000000"/>
                <w:vertAlign w:val="subscript"/>
              </w:rPr>
              <w:t xml:space="preserve">Ingot </w:t>
            </w:r>
            <w:r>
              <w:rPr>
                <w:rFonts w:ascii="Times New Roman"/>
                <w:b w:val="false"/>
                <w:i w:val="false"/>
                <w:color w:val="000000"/>
                <w:sz w:val="20"/>
              </w:rPr>
              <w:t>– медь</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w:t>
            </w:r>
            <w:r>
              <w:rPr>
                <w:rFonts w:ascii="Times New Roman"/>
                <w:b w:val="false"/>
                <w:i w:val="false"/>
                <w:color w:val="000000"/>
                <w:vertAlign w:val="subscript"/>
              </w:rPr>
              <w:t xml:space="preserve">Ingot </w:t>
            </w:r>
            <w:r>
              <w:rPr>
                <w:rFonts w:ascii="Times New Roman"/>
                <w:b w:val="false"/>
                <w:i w:val="false"/>
                <w:color w:val="000000"/>
                <w:sz w:val="20"/>
              </w:rPr>
              <w:t>–</w:t>
            </w:r>
            <w:r>
              <w:br/>
            </w:r>
            <w:r>
              <w:rPr>
                <w:rFonts w:ascii="Times New Roman"/>
                <w:b w:val="false"/>
                <w:i w:val="false"/>
                <w:color w:val="000000"/>
                <w:sz w:val="20"/>
              </w:rPr>
              <w:t xml:space="preserve">
         рутений </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w:t>
            </w:r>
            <w:r>
              <w:rPr>
                <w:rFonts w:ascii="Times New Roman"/>
                <w:b w:val="false"/>
                <w:i w:val="false"/>
                <w:color w:val="000000"/>
                <w:vertAlign w:val="subscript"/>
              </w:rPr>
              <w:t>Ingot</w:t>
            </w:r>
            <w:r>
              <w:rPr>
                <w:rFonts w:ascii="Times New Roman"/>
                <w:b w:val="false"/>
                <w:i w:val="false"/>
                <w:color w:val="000000"/>
                <w:sz w:val="20"/>
              </w:rPr>
              <w:t xml:space="preserve"> –</w:t>
            </w:r>
            <w:r>
              <w:br/>
            </w:r>
            <w:r>
              <w:rPr>
                <w:rFonts w:ascii="Times New Roman"/>
                <w:b w:val="false"/>
                <w:i w:val="false"/>
                <w:color w:val="000000"/>
                <w:sz w:val="20"/>
              </w:rPr>
              <w:t xml:space="preserve">
       палладий </w:t>
            </w:r>
          </w:p>
        </w:tc>
        <w:tc>
          <w:tcPr>
            <w:tcW w:w="0" w:type="auto"/>
            <w:vMerge/>
            <w:tcBorders>
              <w:top w:val="nil"/>
              <w:left w:val="single" w:color="cfcfcf" w:sz="5"/>
              <w:bottom w:val="single" w:color="cfcfcf" w:sz="5"/>
              <w:right w:val="single" w:color="cfcfcf" w:sz="5"/>
            </w:tcBorders>
          </w:tcPr>
          <w:p/>
        </w:tc>
      </w:tr>
    </w:tbl>
    <w:bookmarkStart w:name="z53" w:id="21"/>
    <w:p>
      <w:pPr>
        <w:spacing w:after="0"/>
        <w:ind w:left="0"/>
        <w:jc w:val="both"/>
      </w:pPr>
      <w:r>
        <w:rPr>
          <w:rFonts w:ascii="Times New Roman"/>
          <w:b w:val="false"/>
          <w:i w:val="false"/>
          <w:color w:val="000000"/>
          <w:sz w:val="28"/>
        </w:rPr>
        <w:t>
      В случае если максимально допустимое содержание вышеуказанных примесей в титановых слитках по спецификациям покупателей ниже максимально допустимого содержания примесей в титановых слитках, определенного Стандартом B 348-09, то цена сделки (реализации) на титановые слитки определяется без учета понижающего коэффициента.</w:t>
      </w:r>
    </w:p>
    <w:bookmarkEnd w:id="21"/>
    <w:bookmarkStart w:name="z54"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sz w:val="28"/>
        </w:rPr>
        <w:t xml:space="preserve"> – дифференциал, учитываемый в зависимости от условий поставки титановых слитков, определенных в долгосрочном контракте.</w:t>
      </w:r>
    </w:p>
    <w:bookmarkEnd w:id="22"/>
    <w:bookmarkStart w:name="z55" w:id="23"/>
    <w:p>
      <w:pPr>
        <w:spacing w:after="0"/>
        <w:ind w:left="0"/>
        <w:jc w:val="left"/>
      </w:pPr>
      <w:r>
        <w:rPr>
          <w:rFonts w:ascii="Times New Roman"/>
          <w:b/>
          <w:i w:val="false"/>
          <w:color w:val="000000"/>
        </w:rPr>
        <w:t xml:space="preserve"> 
6. Порядок определения цены сделки (реализации)</w:t>
      </w:r>
      <w:r>
        <w:br/>
      </w:r>
      <w:r>
        <w:rPr>
          <w:rFonts w:ascii="Times New Roman"/>
          <w:b/>
          <w:i w:val="false"/>
          <w:color w:val="000000"/>
        </w:rPr>
        <w:t xml:space="preserve">
на магний первичный в слитках </w:t>
      </w:r>
    </w:p>
    <w:bookmarkEnd w:id="23"/>
    <w:bookmarkStart w:name="z56" w:id="24"/>
    <w:p>
      <w:pPr>
        <w:spacing w:after="0"/>
        <w:ind w:left="0"/>
        <w:jc w:val="both"/>
      </w:pPr>
      <w:r>
        <w:rPr>
          <w:rFonts w:ascii="Times New Roman"/>
          <w:b w:val="false"/>
          <w:i w:val="false"/>
          <w:color w:val="000000"/>
          <w:sz w:val="28"/>
        </w:rPr>
        <w:t>
      Для долгосрочного контракта купли-продажи магния первичного в слитках цена сделки (реализации) рассчитывается по следующей формуле:</w:t>
      </w:r>
    </w:p>
    <w:bookmarkEnd w:id="24"/>
    <w:bookmarkStart w:name="z57" w:id="25"/>
    <w:p>
      <w:pPr>
        <w:spacing w:after="0"/>
        <w:ind w:left="0"/>
        <w:jc w:val="both"/>
      </w:pPr>
      <w:r>
        <w:rPr>
          <w:rFonts w:ascii="Times New Roman"/>
          <w:b w:val="false"/>
          <w:i w:val="false"/>
          <w:color w:val="000000"/>
          <w:sz w:val="28"/>
        </w:rPr>
        <w:t>
      ЦС</w:t>
      </w:r>
      <w:r>
        <w:rPr>
          <w:rFonts w:ascii="Times New Roman"/>
          <w:b w:val="false"/>
          <w:i w:val="false"/>
          <w:color w:val="000000"/>
          <w:vertAlign w:val="subscript"/>
        </w:rPr>
        <w:t>Mg</w:t>
      </w:r>
      <w:r>
        <w:rPr>
          <w:rFonts w:ascii="Times New Roman"/>
          <w:b w:val="false"/>
          <w:i w:val="false"/>
          <w:color w:val="000000"/>
          <w:sz w:val="28"/>
        </w:rPr>
        <w:t> </w:t>
      </w:r>
      <w:r>
        <w:rPr>
          <w:rFonts w:ascii="Times New Roman"/>
          <w:b w:val="false"/>
          <w:i w:val="false"/>
          <w:color w:val="000000"/>
          <w:sz w:val="28"/>
          <w:u w:val="single"/>
        </w:rPr>
        <w:t>&gt;</w:t>
      </w:r>
      <w:r>
        <w:rPr>
          <w:rFonts w:ascii="Times New Roman"/>
          <w:b w:val="false"/>
          <w:i w:val="false"/>
          <w:color w:val="000000"/>
          <w:sz w:val="28"/>
        </w:rPr>
        <w:t xml:space="preserve"> ЦИИ</w:t>
      </w:r>
      <w:r>
        <w:rPr>
          <w:rFonts w:ascii="Times New Roman"/>
          <w:b w:val="false"/>
          <w:i w:val="false"/>
          <w:color w:val="000000"/>
          <w:vertAlign w:val="subscript"/>
        </w:rPr>
        <w:t xml:space="preserve">Mg </w:t>
      </w:r>
      <w:r>
        <w:rPr>
          <w:rFonts w:ascii="Times New Roman"/>
          <w:b w:val="false"/>
          <w:i w:val="false"/>
          <w:color w:val="000000"/>
          <w:sz w:val="28"/>
        </w:rPr>
        <w:t xml:space="preserve"> - </w:t>
      </w:r>
      <w:r>
        <w:rPr>
          <w:rFonts w:ascii="Times New Roman"/>
          <w:b w:val="false"/>
          <w:i w:val="false"/>
          <w:color w:val="000000"/>
          <w:sz w:val="28"/>
          <w:u w:val="single"/>
        </w:rPr>
        <w:t>/\</w:t>
      </w:r>
      <w:r>
        <w:rPr>
          <w:rFonts w:ascii="Times New Roman"/>
          <w:b w:val="false"/>
          <w:i w:val="false"/>
          <w:color w:val="000000"/>
          <w:sz w:val="28"/>
        </w:rPr>
        <w:t>, где</w:t>
      </w:r>
    </w:p>
    <w:bookmarkEnd w:id="25"/>
    <w:bookmarkStart w:name="z58" w:id="26"/>
    <w:p>
      <w:pPr>
        <w:spacing w:after="0"/>
        <w:ind w:left="0"/>
        <w:jc w:val="both"/>
      </w:pPr>
      <w:r>
        <w:rPr>
          <w:rFonts w:ascii="Times New Roman"/>
          <w:b w:val="false"/>
          <w:i w:val="false"/>
          <w:color w:val="000000"/>
          <w:sz w:val="28"/>
        </w:rPr>
        <w:t>
      ЦС</w:t>
      </w:r>
      <w:r>
        <w:rPr>
          <w:rFonts w:ascii="Times New Roman"/>
          <w:b w:val="false"/>
          <w:i w:val="false"/>
          <w:color w:val="000000"/>
          <w:vertAlign w:val="subscript"/>
        </w:rPr>
        <w:t>Mg</w:t>
      </w:r>
      <w:r>
        <w:rPr>
          <w:rFonts w:ascii="Times New Roman"/>
          <w:b w:val="false"/>
          <w:i w:val="false"/>
          <w:color w:val="000000"/>
          <w:sz w:val="28"/>
        </w:rPr>
        <w:t xml:space="preserve"> – цена сделки (реализации) на магний первичный в слитках на дату перехода права собственности покупателю;</w:t>
      </w:r>
      <w:r>
        <w:br/>
      </w:r>
      <w:r>
        <w:rPr>
          <w:rFonts w:ascii="Times New Roman"/>
          <w:b w:val="false"/>
          <w:i w:val="false"/>
          <w:color w:val="000000"/>
          <w:sz w:val="28"/>
        </w:rPr>
        <w:t>
</w:t>
      </w:r>
      <w:r>
        <w:rPr>
          <w:rFonts w:ascii="Times New Roman"/>
          <w:b w:val="false"/>
          <w:i w:val="false"/>
          <w:color w:val="000000"/>
          <w:sz w:val="28"/>
        </w:rPr>
        <w:t>
      ЦИИ</w:t>
      </w:r>
      <w:r>
        <w:rPr>
          <w:rFonts w:ascii="Times New Roman"/>
          <w:b w:val="false"/>
          <w:i w:val="false"/>
          <w:color w:val="000000"/>
          <w:vertAlign w:val="subscript"/>
        </w:rPr>
        <w:t xml:space="preserve">Mg </w:t>
      </w:r>
      <w:r>
        <w:rPr>
          <w:rFonts w:ascii="Times New Roman"/>
          <w:b w:val="false"/>
          <w:i w:val="false"/>
          <w:color w:val="000000"/>
          <w:sz w:val="28"/>
        </w:rPr>
        <w:t>– цена из источника информации на магний первичный в слитках, опубликованная в журнале «Металлургический бюллетень», определяемая как среднеарифметическое значение минимальной и максимальной цены на дату перехода права собственности на товар покупателю по следующей формуле:</w:t>
      </w:r>
    </w:p>
    <w:bookmarkEnd w:id="26"/>
    <w:bookmarkStart w:name="z60" w:id="27"/>
    <w:p>
      <w:pPr>
        <w:spacing w:after="0"/>
        <w:ind w:left="0"/>
        <w:jc w:val="both"/>
      </w:pPr>
      <w:r>
        <w:rPr>
          <w:rFonts w:ascii="Times New Roman"/>
          <w:b w:val="false"/>
          <w:i w:val="false"/>
          <w:color w:val="000000"/>
          <w:sz w:val="28"/>
        </w:rPr>
        <w:t>
                ЦИИ</w:t>
      </w:r>
      <w:r>
        <w:rPr>
          <w:rFonts w:ascii="Times New Roman"/>
          <w:b w:val="false"/>
          <w:i w:val="false"/>
          <w:color w:val="000000"/>
          <w:vertAlign w:val="subscript"/>
        </w:rPr>
        <w:t>МБ min</w:t>
      </w:r>
      <w:r>
        <w:rPr>
          <w:rFonts w:ascii="Times New Roman"/>
          <w:b w:val="false"/>
          <w:i w:val="false"/>
          <w:color w:val="000000"/>
          <w:sz w:val="28"/>
        </w:rPr>
        <w:t xml:space="preserve"> + ЦИИ</w:t>
      </w:r>
      <w:r>
        <w:rPr>
          <w:rFonts w:ascii="Times New Roman"/>
          <w:b w:val="false"/>
          <w:i w:val="false"/>
          <w:color w:val="000000"/>
          <w:vertAlign w:val="subscript"/>
        </w:rPr>
        <w:t>МБ max</w:t>
      </w:r>
      <w:r>
        <w:br/>
      </w:r>
      <w:r>
        <w:rPr>
          <w:rFonts w:ascii="Times New Roman"/>
          <w:b w:val="false"/>
          <w:i w:val="false"/>
          <w:color w:val="000000"/>
          <w:sz w:val="28"/>
        </w:rPr>
        <w:t>
      ЦИИ</w:t>
      </w:r>
      <w:r>
        <w:rPr>
          <w:rFonts w:ascii="Times New Roman"/>
          <w:b w:val="false"/>
          <w:i w:val="false"/>
          <w:color w:val="000000"/>
          <w:vertAlign w:val="subscript"/>
        </w:rPr>
        <w:t>Mg</w:t>
      </w:r>
      <w:r>
        <w:rPr>
          <w:rFonts w:ascii="Times New Roman"/>
          <w:b w:val="false"/>
          <w:i w:val="false"/>
          <w:color w:val="000000"/>
          <w:sz w:val="28"/>
        </w:rPr>
        <w:t xml:space="preserve"> = -------------------------- , где</w:t>
      </w:r>
      <w:r>
        <w:br/>
      </w:r>
      <w:r>
        <w:rPr>
          <w:rFonts w:ascii="Times New Roman"/>
          <w:b w:val="false"/>
          <w:i w:val="false"/>
          <w:color w:val="000000"/>
          <w:sz w:val="28"/>
        </w:rPr>
        <w:t xml:space="preserve">
                           2 </w:t>
      </w:r>
    </w:p>
    <w:bookmarkEnd w:id="27"/>
    <w:bookmarkStart w:name="z61" w:id="28"/>
    <w:p>
      <w:pPr>
        <w:spacing w:after="0"/>
        <w:ind w:left="0"/>
        <w:jc w:val="both"/>
      </w:pPr>
      <w:r>
        <w:rPr>
          <w:rFonts w:ascii="Times New Roman"/>
          <w:b w:val="false"/>
          <w:i w:val="false"/>
          <w:color w:val="000000"/>
          <w:sz w:val="28"/>
        </w:rPr>
        <w:t>
      ЦИИ</w:t>
      </w:r>
      <w:r>
        <w:rPr>
          <w:rFonts w:ascii="Times New Roman"/>
          <w:b w:val="false"/>
          <w:i w:val="false"/>
          <w:color w:val="000000"/>
          <w:vertAlign w:val="subscript"/>
        </w:rPr>
        <w:t>МБ min.</w:t>
      </w:r>
      <w:r>
        <w:rPr>
          <w:rFonts w:ascii="Times New Roman"/>
          <w:b w:val="false"/>
          <w:i w:val="false"/>
          <w:color w:val="000000"/>
          <w:sz w:val="28"/>
        </w:rPr>
        <w:t xml:space="preserve"> – минимальное значение цены из источника информации на магний первичный в слитках, опубликованной в журнале «Металлургический бюллетень» на дату перехода права собственности покупателю;</w:t>
      </w:r>
      <w:r>
        <w:br/>
      </w:r>
      <w:r>
        <w:rPr>
          <w:rFonts w:ascii="Times New Roman"/>
          <w:b w:val="false"/>
          <w:i w:val="false"/>
          <w:color w:val="000000"/>
          <w:sz w:val="28"/>
        </w:rPr>
        <w:t>
</w:t>
      </w:r>
      <w:r>
        <w:rPr>
          <w:rFonts w:ascii="Times New Roman"/>
          <w:b w:val="false"/>
          <w:i w:val="false"/>
          <w:color w:val="000000"/>
          <w:sz w:val="28"/>
        </w:rPr>
        <w:t>
      ЦИИ</w:t>
      </w:r>
      <w:r>
        <w:rPr>
          <w:rFonts w:ascii="Times New Roman"/>
          <w:b w:val="false"/>
          <w:i w:val="false"/>
          <w:color w:val="000000"/>
          <w:vertAlign w:val="subscript"/>
        </w:rPr>
        <w:t>МБ max.</w:t>
      </w:r>
      <w:r>
        <w:rPr>
          <w:rFonts w:ascii="Times New Roman"/>
          <w:b w:val="false"/>
          <w:i w:val="false"/>
          <w:color w:val="000000"/>
          <w:sz w:val="28"/>
        </w:rPr>
        <w:t xml:space="preserve"> – максимальное значение цены из источника информации на магний первичный в слитках, опубликованной в журнале «Металлургический бюллетень» на дату перехода права собственности покупателю.</w:t>
      </w:r>
      <w:r>
        <w:br/>
      </w:r>
      <w:r>
        <w:rPr>
          <w:rFonts w:ascii="Times New Roman"/>
          <w:b w:val="false"/>
          <w:i w:val="false"/>
          <w:color w:val="000000"/>
          <w:sz w:val="28"/>
        </w:rPr>
        <w:t>
</w:t>
      </w:r>
      <w:r>
        <w:rPr>
          <w:rFonts w:ascii="Times New Roman"/>
          <w:b w:val="false"/>
          <w:i w:val="false"/>
          <w:color w:val="000000"/>
          <w:sz w:val="28"/>
        </w:rPr>
        <w:t>
      При этом ЦИИ</w:t>
      </w:r>
      <w:r>
        <w:rPr>
          <w:rFonts w:ascii="Times New Roman"/>
          <w:b w:val="false"/>
          <w:i w:val="false"/>
          <w:color w:val="000000"/>
          <w:vertAlign w:val="subscript"/>
        </w:rPr>
        <w:t>Mg</w:t>
      </w:r>
      <w:r>
        <w:rPr>
          <w:rFonts w:ascii="Times New Roman"/>
          <w:b w:val="false"/>
          <w:i w:val="false"/>
          <w:color w:val="000000"/>
          <w:sz w:val="28"/>
        </w:rPr>
        <w:t xml:space="preserve"> применяется с учетом пределов ценового коридора и положений главы 3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sz w:val="28"/>
        </w:rPr>
        <w:t xml:space="preserve"> – дифференциал, учитываемый в зависимости от условий поставки магния первичного в слитках, определенных в долгосрочном контракте.</w:t>
      </w:r>
    </w:p>
    <w:bookmarkEnd w:id="28"/>
    <w:bookmarkStart w:name="z65" w:id="29"/>
    <w:p>
      <w:pPr>
        <w:spacing w:after="0"/>
        <w:ind w:left="0"/>
        <w:jc w:val="left"/>
      </w:pPr>
      <w:r>
        <w:rPr>
          <w:rFonts w:ascii="Times New Roman"/>
          <w:b/>
          <w:i w:val="false"/>
          <w:color w:val="000000"/>
        </w:rPr>
        <w:t xml:space="preserve"> 
7. Определение дифференциала</w:t>
      </w:r>
    </w:p>
    <w:bookmarkEnd w:id="29"/>
    <w:bookmarkStart w:name="z66" w:id="30"/>
    <w:p>
      <w:pPr>
        <w:spacing w:after="0"/>
        <w:ind w:left="0"/>
        <w:jc w:val="both"/>
      </w:pPr>
      <w:r>
        <w:rPr>
          <w:rFonts w:ascii="Times New Roman"/>
          <w:b w:val="false"/>
          <w:i w:val="false"/>
          <w:color w:val="000000"/>
          <w:sz w:val="28"/>
        </w:rPr>
        <w:t>
      В дифференциал, в целях приведения в сопоставимые экономические условия цены из источника информации, в зависимости от условий поставки титана губчатого, титановых слитков, магния первичного в слитках включаются обоснованные и подтвержденные документально и (или) источниками информации расходы покупателя, связанные с доставкой товара до соответствующего рынка назначения (поставки) товара и его реализацией, включая:</w:t>
      </w:r>
      <w:r>
        <w:br/>
      </w:r>
      <w:r>
        <w:rPr>
          <w:rFonts w:ascii="Times New Roman"/>
          <w:b w:val="false"/>
          <w:i w:val="false"/>
          <w:color w:val="000000"/>
          <w:sz w:val="28"/>
        </w:rPr>
        <w:t>
</w:t>
      </w:r>
      <w:r>
        <w:rPr>
          <w:rFonts w:ascii="Times New Roman"/>
          <w:b w:val="false"/>
          <w:i w:val="false"/>
          <w:color w:val="000000"/>
          <w:sz w:val="28"/>
        </w:rPr>
        <w:t xml:space="preserve">
      1) расходы по хранению товара на складах; </w:t>
      </w:r>
      <w:r>
        <w:br/>
      </w:r>
      <w:r>
        <w:rPr>
          <w:rFonts w:ascii="Times New Roman"/>
          <w:b w:val="false"/>
          <w:i w:val="false"/>
          <w:color w:val="000000"/>
          <w:sz w:val="28"/>
        </w:rPr>
        <w:t>
</w:t>
      </w:r>
      <w:r>
        <w:rPr>
          <w:rFonts w:ascii="Times New Roman"/>
          <w:b w:val="false"/>
          <w:i w:val="false"/>
          <w:color w:val="000000"/>
          <w:sz w:val="28"/>
        </w:rPr>
        <w:t>
      2) расходы на транспортировку товара;</w:t>
      </w:r>
      <w:r>
        <w:br/>
      </w:r>
      <w:r>
        <w:rPr>
          <w:rFonts w:ascii="Times New Roman"/>
          <w:b w:val="false"/>
          <w:i w:val="false"/>
          <w:color w:val="000000"/>
          <w:sz w:val="28"/>
        </w:rPr>
        <w:t>
</w:t>
      </w:r>
      <w:r>
        <w:rPr>
          <w:rFonts w:ascii="Times New Roman"/>
          <w:b w:val="false"/>
          <w:i w:val="false"/>
          <w:color w:val="000000"/>
          <w:sz w:val="28"/>
        </w:rPr>
        <w:t>
      3) расходы по страхованию транспортировки товара;</w:t>
      </w:r>
      <w:r>
        <w:br/>
      </w:r>
      <w:r>
        <w:rPr>
          <w:rFonts w:ascii="Times New Roman"/>
          <w:b w:val="false"/>
          <w:i w:val="false"/>
          <w:color w:val="000000"/>
          <w:sz w:val="28"/>
        </w:rPr>
        <w:t>
</w:t>
      </w:r>
      <w:r>
        <w:rPr>
          <w:rFonts w:ascii="Times New Roman"/>
          <w:b w:val="false"/>
          <w:i w:val="false"/>
          <w:color w:val="000000"/>
          <w:sz w:val="28"/>
        </w:rPr>
        <w:t>
      4) расходы по уплате таможенных пошлин (платежей) на титан губчатый, реализуемый в США;</w:t>
      </w:r>
      <w:r>
        <w:br/>
      </w:r>
      <w:r>
        <w:rPr>
          <w:rFonts w:ascii="Times New Roman"/>
          <w:b w:val="false"/>
          <w:i w:val="false"/>
          <w:color w:val="000000"/>
          <w:sz w:val="28"/>
        </w:rPr>
        <w:t>
</w:t>
      </w:r>
      <w:r>
        <w:rPr>
          <w:rFonts w:ascii="Times New Roman"/>
          <w:b w:val="false"/>
          <w:i w:val="false"/>
          <w:color w:val="000000"/>
          <w:sz w:val="28"/>
        </w:rPr>
        <w:t>
      5) комиссионное вознаграждение в размере не более 3 % от общей суммы расходов, понесенных трейдером (покупателем) по приобретению, доставке и реализации товара;</w:t>
      </w:r>
      <w:r>
        <w:br/>
      </w:r>
      <w:r>
        <w:rPr>
          <w:rFonts w:ascii="Times New Roman"/>
          <w:b w:val="false"/>
          <w:i w:val="false"/>
          <w:color w:val="000000"/>
          <w:sz w:val="28"/>
        </w:rPr>
        <w:t>
</w:t>
      </w:r>
      <w:r>
        <w:rPr>
          <w:rFonts w:ascii="Times New Roman"/>
          <w:b w:val="false"/>
          <w:i w:val="false"/>
          <w:color w:val="000000"/>
          <w:sz w:val="28"/>
        </w:rPr>
        <w:t>
      6) расходы по финансированию, включая расходы покупателя по выплате вознаграждения по кредитам (займам), предоставленным покупателю коммерческими банками для приобретения, доставки и реализации товара, в размере не более LIBOR+4%, а также расходы по комиссии банка, которые несет покупатель при привлечении и обслуживании кредитов (займов). Вознаграждение по кредитам (займам) определяется как среднеарифметическое значение двенадцатимесячной ставки LIBOR+4%. Значение двенадцатимесячной ставки LIBOR определяется на основании данных интернет-сайта www.bbalibor.com.</w:t>
      </w:r>
      <w:r>
        <w:br/>
      </w:r>
      <w:r>
        <w:rPr>
          <w:rFonts w:ascii="Times New Roman"/>
          <w:b w:val="false"/>
          <w:i w:val="false"/>
          <w:color w:val="000000"/>
          <w:sz w:val="28"/>
        </w:rPr>
        <w:t>
</w:t>
      </w:r>
      <w:r>
        <w:rPr>
          <w:rFonts w:ascii="Times New Roman"/>
          <w:b w:val="false"/>
          <w:i w:val="false"/>
          <w:color w:val="000000"/>
          <w:sz w:val="28"/>
        </w:rPr>
        <w:t>
      Составляющие дифференциала подтверждаются документально, в том числе долгосрочными контрактами, актами сдачи-приемки услуг по реализационным расходам с постатейной детализацией расходов покупателя, связанных с доставкой товара до соответствующего рынка назначения (поставки) товара и его реализацией, и (или) источниками информации в очередности, установленной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5 июля 2008 года «О трансфертном ценообразовании».</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