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0802" w14:textId="e620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экономического сотрудничества и развития о реализации проекта "Участие прямых иностранных инвестиций в развитии малого и среднего бизнеса"</w:t>
      </w:r>
    </w:p>
    <w:p>
      <w:pPr>
        <w:spacing w:after="0"/>
        <w:ind w:left="0"/>
        <w:jc w:val="both"/>
      </w:pPr>
      <w:r>
        <w:rPr>
          <w:rFonts w:ascii="Times New Roman"/>
          <w:b w:val="false"/>
          <w:i w:val="false"/>
          <w:color w:val="000000"/>
          <w:sz w:val="28"/>
        </w:rPr>
        <w:t>Постановление Правительства Республики Казахстан от 1 августа 2011 года № 890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Соглашения между Правительством Республики Казахстан и Организацией экономического сотрудничества и развития о реализации проекта "Участие прямых иностранных инвестиций в развитии малого и среднего бизнеса".</w:t>
      </w:r>
      <w:r>
        <w:br/>
      </w:r>
      <w:r>
        <w:rPr>
          <w:rFonts w:ascii="Times New Roman"/>
          <w:b w:val="false"/>
          <w:i w:val="false"/>
          <w:color w:val="000000"/>
          <w:sz w:val="28"/>
        </w:rPr>
        <w:t>
      2. Уполномочить Заместителя Премьер-Министра Республики Казахстан Орынбаева Ербола Турмахановича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"Участие прямых иностранных инвестиций в развитии малого и среднего бизнеса", разрешив вносить в него изменения и дополнения, не имеющие принципиального характера.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августа 2011 года № 890</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Организацией</w:t>
      </w:r>
      <w:r>
        <w:br/>
      </w:r>
      <w:r>
        <w:rPr>
          <w:rFonts w:ascii="Times New Roman"/>
          <w:b/>
          <w:i w:val="false"/>
          <w:color w:val="000000"/>
        </w:rPr>
        <w:t>
экономического сотрудничества и развития о реализации проекта</w:t>
      </w:r>
      <w:r>
        <w:br/>
      </w:r>
      <w:r>
        <w:rPr>
          <w:rFonts w:ascii="Times New Roman"/>
          <w:b/>
          <w:i w:val="false"/>
          <w:color w:val="000000"/>
        </w:rPr>
        <w:t>
"Участие прямых иностранных инвестиций в развитии малого и</w:t>
      </w:r>
      <w:r>
        <w:br/>
      </w:r>
      <w:r>
        <w:rPr>
          <w:rFonts w:ascii="Times New Roman"/>
          <w:b/>
          <w:i w:val="false"/>
          <w:color w:val="000000"/>
        </w:rPr>
        <w:t>
среднего бизнеса"</w:t>
      </w:r>
    </w:p>
    <w:p>
      <w:pPr>
        <w:spacing w:after="0"/>
        <w:ind w:left="0"/>
        <w:jc w:val="both"/>
      </w:pPr>
      <w:r>
        <w:rPr>
          <w:rFonts w:ascii="Times New Roman"/>
          <w:b w:val="false"/>
          <w:i w:val="false"/>
          <w:color w:val="000000"/>
          <w:sz w:val="28"/>
        </w:rPr>
        <w:t>      Принимая во внимание, что</w:t>
      </w:r>
      <w:r>
        <w:br/>
      </w:r>
      <w:r>
        <w:rPr>
          <w:rFonts w:ascii="Times New Roman"/>
          <w:b w:val="false"/>
          <w:i w:val="false"/>
          <w:color w:val="000000"/>
          <w:sz w:val="28"/>
        </w:rPr>
        <w:t>
      Организация экономического сотрудничества и развития (далее - ОЭСР) осуществляет проект, именуемый "Участие прямых иностранных инвестиций в развитии малого и среднего бизнеса" (далее - Проект) как часть Программы работ и Бюджета Директората по делам финансов и предпринимательства в качестве международной организации, исполняющей настоящую работу;</w:t>
      </w:r>
      <w:r>
        <w:br/>
      </w:r>
      <w:r>
        <w:rPr>
          <w:rFonts w:ascii="Times New Roman"/>
          <w:b w:val="false"/>
          <w:i w:val="false"/>
          <w:color w:val="000000"/>
          <w:sz w:val="28"/>
        </w:rPr>
        <w:t>
      Правительство Республики Казахстан выразило согласие принять участие в Проекте.</w:t>
      </w:r>
      <w:r>
        <w:br/>
      </w:r>
      <w:r>
        <w:rPr>
          <w:rFonts w:ascii="Times New Roman"/>
          <w:b w:val="false"/>
          <w:i w:val="false"/>
          <w:color w:val="000000"/>
          <w:sz w:val="28"/>
        </w:rPr>
        <w:t>
      Для настоящего Проекта ОЭСР также обращается за содействием к Европейскому Союзу (далее именуемому как ЕС), в соответствии со статьей 2 настоящего Соглашения.</w:t>
      </w:r>
      <w:r>
        <w:br/>
      </w:r>
      <w:r>
        <w:rPr>
          <w:rFonts w:ascii="Times New Roman"/>
          <w:b w:val="false"/>
          <w:i w:val="false"/>
          <w:color w:val="000000"/>
          <w:sz w:val="28"/>
        </w:rPr>
        <w:t>
      Правительство Республики Казахстан в лице Министерства экономического развития и торговли Республики Казахстан (далее - МЭРТ РК) и ОЭСР, согласились о нижеследующем:</w:t>
      </w:r>
    </w:p>
    <w:p>
      <w:pPr>
        <w:spacing w:after="0"/>
        <w:ind w:left="0"/>
        <w:jc w:val="both"/>
      </w:pPr>
      <w:r>
        <w:rPr>
          <w:rFonts w:ascii="Times New Roman"/>
          <w:b w:val="false"/>
          <w:i w:val="false"/>
          <w:color w:val="000000"/>
          <w:sz w:val="28"/>
        </w:rPr>
        <w:t>      </w:t>
      </w:r>
      <w:r>
        <w:rPr>
          <w:rFonts w:ascii="Times New Roman"/>
          <w:b/>
          <w:i w:val="false"/>
          <w:color w:val="000000"/>
          <w:sz w:val="28"/>
        </w:rPr>
        <w:t>1. Цель и стадии проекта</w:t>
      </w:r>
    </w:p>
    <w:p>
      <w:pPr>
        <w:spacing w:after="0"/>
        <w:ind w:left="0"/>
        <w:jc w:val="both"/>
      </w:pPr>
      <w:r>
        <w:rPr>
          <w:rFonts w:ascii="Times New Roman"/>
          <w:b w:val="false"/>
          <w:i w:val="false"/>
          <w:color w:val="000000"/>
          <w:sz w:val="28"/>
        </w:rPr>
        <w:t>      1.1. Основной целью Проекта является содействие региональному развитию и диверсификация экономики Республики Казахстан, разработка и реализация стратегии укрепления региональных возможностей малого и среднего бизнеса с применением подхода, использующего потенциал прямых иностранных инвестиций на региональном уровне.</w:t>
      </w:r>
      <w:r>
        <w:br/>
      </w:r>
      <w:r>
        <w:rPr>
          <w:rFonts w:ascii="Times New Roman"/>
          <w:b w:val="false"/>
          <w:i w:val="false"/>
          <w:color w:val="000000"/>
          <w:sz w:val="28"/>
        </w:rPr>
        <w:t>
      1.2. Проект проводится в три стадии в течение 42 месяцев:</w:t>
      </w:r>
      <w:r>
        <w:br/>
      </w:r>
      <w:r>
        <w:rPr>
          <w:rFonts w:ascii="Times New Roman"/>
          <w:b w:val="false"/>
          <w:i w:val="false"/>
          <w:color w:val="000000"/>
          <w:sz w:val="28"/>
        </w:rPr>
        <w:t>
      Стадия 1: Разработка дорожной карты содействия региональным инвестициям;</w:t>
      </w:r>
      <w:r>
        <w:br/>
      </w:r>
      <w:r>
        <w:rPr>
          <w:rFonts w:ascii="Times New Roman"/>
          <w:b w:val="false"/>
          <w:i w:val="false"/>
          <w:color w:val="000000"/>
          <w:sz w:val="28"/>
        </w:rPr>
        <w:t>
      Стадия 2: Реализация дорожной карты в трех выбранных пилотных регионах;</w:t>
      </w:r>
      <w:r>
        <w:br/>
      </w:r>
      <w:r>
        <w:rPr>
          <w:rFonts w:ascii="Times New Roman"/>
          <w:b w:val="false"/>
          <w:i w:val="false"/>
          <w:color w:val="000000"/>
          <w:sz w:val="28"/>
        </w:rPr>
        <w:t>
      Стадия 3: Создание надежного механизма, позволяющего казахстанским органам власти реализовывать стратегию содействия региональным инвестициям во всех других регионах.</w:t>
      </w:r>
    </w:p>
    <w:p>
      <w:pPr>
        <w:spacing w:after="0"/>
        <w:ind w:left="0"/>
        <w:jc w:val="both"/>
      </w:pPr>
      <w:r>
        <w:rPr>
          <w:rFonts w:ascii="Times New Roman"/>
          <w:b w:val="false"/>
          <w:i w:val="false"/>
          <w:color w:val="000000"/>
          <w:sz w:val="28"/>
        </w:rPr>
        <w:t>      </w:t>
      </w:r>
      <w:r>
        <w:rPr>
          <w:rFonts w:ascii="Times New Roman"/>
          <w:b/>
          <w:i w:val="false"/>
          <w:color w:val="000000"/>
          <w:sz w:val="28"/>
        </w:rPr>
        <w:t>2. Бюджет и ресурсы</w:t>
      </w:r>
    </w:p>
    <w:p>
      <w:pPr>
        <w:spacing w:after="0"/>
        <w:ind w:left="0"/>
        <w:jc w:val="both"/>
      </w:pPr>
      <w:r>
        <w:rPr>
          <w:rFonts w:ascii="Times New Roman"/>
          <w:b w:val="false"/>
          <w:i w:val="false"/>
          <w:color w:val="000000"/>
          <w:sz w:val="28"/>
        </w:rPr>
        <w:t>      2.1. Правительство Республики Казахстан вносит вклад во все три стадии Проекта в виде субсидии в размере двух миллионов евро. ОЭСР намеревается заключить отдельный Договор с ЕС о предоставлении субсидии в размере четыре миллиона евро недостающего финансирования для Проекта. В связи с этим исполнение Проекта возможно при условии подписания такого Договора.</w:t>
      </w:r>
      <w:r>
        <w:br/>
      </w:r>
      <w:r>
        <w:rPr>
          <w:rFonts w:ascii="Times New Roman"/>
          <w:b w:val="false"/>
          <w:i w:val="false"/>
          <w:color w:val="000000"/>
          <w:sz w:val="28"/>
        </w:rPr>
        <w:t>
      2.2. Продолжение какого-либо вида деятельности ОЭСР за пределами 2012 года подлежит условию включения данного вида деятельности Советом ОЭСР в Рабочую Программу и Бюджет ОЭСР на 2013-2014 годы. Секретариат ОЭСР намеревается предложить деятельность, являющуюся предметом настоящего Соглашения, для включения в Рабочую Программу и Бюджет ОЭСР на 2013-2014 годы. Однако в том случае, если эта деятельность не окажется включенной в Рабочую Программу и Бюджет ОЭСР на 2013-2014 годы, ОЭСР оставляет за собой право прекратить настоящее Соглашение, в случае чего объектом финансирования Правительством Республики Казахстан будут только расходы, понесенные ОЭСР до даты прекращения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3. Порядок выполнения деятельности</w:t>
      </w:r>
    </w:p>
    <w:p>
      <w:pPr>
        <w:spacing w:after="0"/>
        <w:ind w:left="0"/>
        <w:jc w:val="both"/>
      </w:pPr>
      <w:r>
        <w:rPr>
          <w:rFonts w:ascii="Times New Roman"/>
          <w:b w:val="false"/>
          <w:i w:val="false"/>
          <w:color w:val="000000"/>
          <w:sz w:val="28"/>
        </w:rPr>
        <w:t>      3.1. ОЭСР несет ответственность за исполнение Проекта в соответствии с приложенным предложением, являющимся неотъемлемой частью настоящего Соглашения.</w:t>
      </w:r>
      <w:r>
        <w:br/>
      </w:r>
      <w:r>
        <w:rPr>
          <w:rFonts w:ascii="Times New Roman"/>
          <w:b w:val="false"/>
          <w:i w:val="false"/>
          <w:color w:val="000000"/>
          <w:sz w:val="28"/>
        </w:rPr>
        <w:t>
      3.2. ОЭСР предоставляет Правительству Республики Казахстан ежегодные краткие отчеты о проделанной работе, содержащие сведения о выполненной деятельности, и итоговый отчет о проделанной работе по окончанию Проекта. Вышеуказанные отчеты должны быть предоставлены не позднее трех месяцев по истечении отчетного периода. ОЭСР также предоставляет Правительству Республики Казахстан итоговую расходную ведомость по его денежному вкладу, в евро, заверенную и подписанную главой бухгалтерского отдела ОЭСР, вместе с копией выписки с банковского счета, подтверждающей получение денежных средств. Этот отчет предоставляется не позднее шести месяцев по окончании Проекта.</w:t>
      </w:r>
    </w:p>
    <w:p>
      <w:pPr>
        <w:spacing w:after="0"/>
        <w:ind w:left="0"/>
        <w:jc w:val="both"/>
      </w:pPr>
      <w:r>
        <w:rPr>
          <w:rFonts w:ascii="Times New Roman"/>
          <w:b w:val="false"/>
          <w:i w:val="false"/>
          <w:color w:val="000000"/>
          <w:sz w:val="28"/>
        </w:rPr>
        <w:t>      </w:t>
      </w:r>
      <w:r>
        <w:rPr>
          <w:rFonts w:ascii="Times New Roman"/>
          <w:b/>
          <w:i w:val="false"/>
          <w:color w:val="000000"/>
          <w:sz w:val="28"/>
        </w:rPr>
        <w:t>4. Механизмы финансирования</w:t>
      </w:r>
    </w:p>
    <w:p>
      <w:pPr>
        <w:spacing w:after="0"/>
        <w:ind w:left="0"/>
        <w:jc w:val="both"/>
      </w:pPr>
      <w:r>
        <w:rPr>
          <w:rFonts w:ascii="Times New Roman"/>
          <w:b w:val="false"/>
          <w:i w:val="false"/>
          <w:color w:val="000000"/>
          <w:sz w:val="28"/>
        </w:rPr>
        <w:t>      4.1. Правительство Республики Казахстан вносит денежный вклад в Проект согласно статье 2 настоящего Соглашения. Для настоящего Проекта ОЭСР также обращается к ЕС за содействием, согласно статье 2 настоящего Соглашения.</w:t>
      </w:r>
      <w:r>
        <w:br/>
      </w:r>
      <w:r>
        <w:rPr>
          <w:rFonts w:ascii="Times New Roman"/>
          <w:b w:val="false"/>
          <w:i w:val="false"/>
          <w:color w:val="000000"/>
          <w:sz w:val="28"/>
        </w:rPr>
        <w:t>
      4.2. Общая сумма вклада со стороны Правительства Республики Казахстан составляет два миллиона евро, предназначенных для поддержки всех трех стадий Проекта в течение 42 месяцев.</w:t>
      </w:r>
      <w:r>
        <w:br/>
      </w:r>
      <w:r>
        <w:rPr>
          <w:rFonts w:ascii="Times New Roman"/>
          <w:b w:val="false"/>
          <w:i w:val="false"/>
          <w:color w:val="000000"/>
          <w:sz w:val="28"/>
        </w:rPr>
        <w:t>
      4.3. Содействие, запрашиваемое у ЕС, составляет четыре миллиона евро, предназначенных для поддержки всех трех стадий Проекта в течение 42 месяцев.</w:t>
      </w:r>
      <w:r>
        <w:br/>
      </w:r>
      <w:r>
        <w:rPr>
          <w:rFonts w:ascii="Times New Roman"/>
          <w:b w:val="false"/>
          <w:i w:val="false"/>
          <w:color w:val="000000"/>
          <w:sz w:val="28"/>
        </w:rPr>
        <w:t>
      4.4. Правительство Республики Казахстан согласно выплатить на счет ОЭСР два миллиона евро, двумя взносами: первый взнос в размере одного миллиона евро будет уплачен по подписании настоящего Соглашения и получении соответствующего счета-фактуры от ОЭСР; второй взнос в размере одного миллиона евро будет уплачен год спустя после подписания настоящего договора и по получении соответствующего счета-фактуры от ОЭСР.</w:t>
      </w:r>
      <w:r>
        <w:br/>
      </w:r>
      <w:r>
        <w:rPr>
          <w:rFonts w:ascii="Times New Roman"/>
          <w:b w:val="false"/>
          <w:i w:val="false"/>
          <w:color w:val="000000"/>
          <w:sz w:val="28"/>
        </w:rPr>
        <w:t>
      4.5. ОЭСР контролирует и отчитывается за использование денежного вклада в соответствии, как с международными общепринятыми принципами бухгалтерского учета, так и с его финансовым регламентом, а также другими применимыми правилами, процедурами и методиками, которые обеспечивают получение комиссии за факторинговое обслуживание в размере 5,8 % от суммы предложения.</w:t>
      </w:r>
    </w:p>
    <w:p>
      <w:pPr>
        <w:spacing w:after="0"/>
        <w:ind w:left="0"/>
        <w:jc w:val="both"/>
      </w:pPr>
      <w:r>
        <w:rPr>
          <w:rFonts w:ascii="Times New Roman"/>
          <w:b w:val="false"/>
          <w:i w:val="false"/>
          <w:color w:val="000000"/>
          <w:sz w:val="28"/>
        </w:rPr>
        <w:t>      </w:t>
      </w:r>
      <w:r>
        <w:rPr>
          <w:rFonts w:ascii="Times New Roman"/>
          <w:b/>
          <w:i w:val="false"/>
          <w:color w:val="000000"/>
          <w:sz w:val="28"/>
        </w:rPr>
        <w:t>5. Общие условия</w:t>
      </w:r>
    </w:p>
    <w:p>
      <w:pPr>
        <w:spacing w:after="0"/>
        <w:ind w:left="0"/>
        <w:jc w:val="both"/>
      </w:pPr>
      <w:r>
        <w:rPr>
          <w:rFonts w:ascii="Times New Roman"/>
          <w:b w:val="false"/>
          <w:i w:val="false"/>
          <w:color w:val="000000"/>
          <w:sz w:val="28"/>
        </w:rPr>
        <w:t>      5.1. Использование итогового отчета по Проекту.</w:t>
      </w:r>
      <w:r>
        <w:br/>
      </w:r>
      <w:r>
        <w:rPr>
          <w:rFonts w:ascii="Times New Roman"/>
          <w:b w:val="false"/>
          <w:i w:val="false"/>
          <w:color w:val="000000"/>
          <w:sz w:val="28"/>
        </w:rPr>
        <w:t>
      ОЭСР предоставляет Правительству Республики Казахстан неисключительную безвозвратную глобальную лицензию на использование, копирование и распространение итогового отчета ОЭСР по Проекту с любой государственной некоммерческой целью. Правительство Республики Казахстан всегда должным образом выказывает признательность по отношению к ОЭСР и включает уведомление об авторском праве ОЭСР в необходимых случаях. ОЭСР оставляет за собой право первой публикации отчета на любом языке и в любом средстве информации. Все результаты работы, выполненной в рамках настоящего проекта, включая отчет, принадлежат ОЭСР.</w:t>
      </w:r>
      <w:r>
        <w:br/>
      </w:r>
      <w:r>
        <w:rPr>
          <w:rFonts w:ascii="Times New Roman"/>
          <w:b w:val="false"/>
          <w:i w:val="false"/>
          <w:color w:val="000000"/>
          <w:sz w:val="28"/>
        </w:rPr>
        <w:t>
      5.2. Признательность.</w:t>
      </w:r>
      <w:r>
        <w:br/>
      </w:r>
      <w:r>
        <w:rPr>
          <w:rFonts w:ascii="Times New Roman"/>
          <w:b w:val="false"/>
          <w:i w:val="false"/>
          <w:color w:val="000000"/>
          <w:sz w:val="28"/>
        </w:rPr>
        <w:t>
      В соответствии с правилами и порядком ОЭСР в отношении публикаций, итоговый отчет ОЭСР содержит выражение признательности за вклад Правительства Республики Казахстан в Проект.</w:t>
      </w:r>
      <w:r>
        <w:br/>
      </w:r>
      <w:r>
        <w:rPr>
          <w:rFonts w:ascii="Times New Roman"/>
          <w:b w:val="false"/>
          <w:i w:val="false"/>
          <w:color w:val="000000"/>
          <w:sz w:val="28"/>
        </w:rPr>
        <w:t>
      5.3. Информация.</w:t>
      </w:r>
      <w:r>
        <w:br/>
      </w:r>
      <w:r>
        <w:rPr>
          <w:rFonts w:ascii="Times New Roman"/>
          <w:b w:val="false"/>
          <w:i w:val="false"/>
          <w:color w:val="000000"/>
          <w:sz w:val="28"/>
        </w:rPr>
        <w:t>
      Правительство Республики Казахстан и ОЭСР предоставляют друг другу взаимопомощь и информацию, необходимую для исполнения настоящего Проекта.</w:t>
      </w:r>
      <w:r>
        <w:br/>
      </w:r>
      <w:r>
        <w:rPr>
          <w:rFonts w:ascii="Times New Roman"/>
          <w:b w:val="false"/>
          <w:i w:val="false"/>
          <w:color w:val="000000"/>
          <w:sz w:val="28"/>
        </w:rPr>
        <w:t>
      5.4. Любые сообщения между Сторонами адресуются:</w:t>
      </w:r>
      <w:r>
        <w:br/>
      </w:r>
      <w:r>
        <w:rPr>
          <w:rFonts w:ascii="Times New Roman"/>
          <w:b w:val="false"/>
          <w:i w:val="false"/>
          <w:color w:val="000000"/>
          <w:sz w:val="28"/>
        </w:rPr>
        <w:t>
      в МЭРТ РК:</w:t>
      </w:r>
      <w:r>
        <w:br/>
      </w:r>
      <w:r>
        <w:rPr>
          <w:rFonts w:ascii="Times New Roman"/>
          <w:b w:val="false"/>
          <w:i w:val="false"/>
          <w:color w:val="000000"/>
          <w:sz w:val="28"/>
        </w:rPr>
        <w:t>
      010000 Казахстан, г. Астана, ул. Орынбор, 8, Министерство экономического развития и торговли Республики Казахстан, факс: +7 (7172) 74-38-24.</w:t>
      </w:r>
      <w:r>
        <w:br/>
      </w:r>
      <w:r>
        <w:rPr>
          <w:rFonts w:ascii="Times New Roman"/>
          <w:b w:val="false"/>
          <w:i w:val="false"/>
          <w:color w:val="000000"/>
          <w:sz w:val="28"/>
        </w:rPr>
        <w:t>
      в ОЭСР:</w:t>
      </w:r>
      <w:r>
        <w:br/>
      </w:r>
      <w:r>
        <w:rPr>
          <w:rFonts w:ascii="Times New Roman"/>
          <w:b w:val="false"/>
          <w:i w:val="false"/>
          <w:color w:val="000000"/>
          <w:sz w:val="28"/>
        </w:rPr>
        <w:t>
      2, rue Andre-Pascal</w:t>
      </w:r>
      <w:r>
        <w:br/>
      </w:r>
      <w:r>
        <w:rPr>
          <w:rFonts w:ascii="Times New Roman"/>
          <w:b w:val="false"/>
          <w:i w:val="false"/>
          <w:color w:val="000000"/>
          <w:sz w:val="28"/>
        </w:rPr>
        <w:t>
      75775 Paris Cedex 16</w:t>
      </w:r>
      <w:r>
        <w:br/>
      </w:r>
      <w:r>
        <w:rPr>
          <w:rFonts w:ascii="Times New Roman"/>
          <w:b w:val="false"/>
          <w:i w:val="false"/>
          <w:color w:val="000000"/>
          <w:sz w:val="28"/>
        </w:rPr>
        <w:t>
      France</w:t>
      </w:r>
      <w:r>
        <w:br/>
      </w:r>
      <w:r>
        <w:rPr>
          <w:rFonts w:ascii="Times New Roman"/>
          <w:b w:val="false"/>
          <w:i w:val="false"/>
          <w:color w:val="000000"/>
          <w:sz w:val="28"/>
        </w:rPr>
        <w:t>
      5.5. Изменения и дополнения к Соглашению вносятся по совместному согласию Сторон путем отдельного письменного протокола, являющегося неотъемлемой частью настоящего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6. Порядок разрешения споров</w:t>
      </w:r>
    </w:p>
    <w:p>
      <w:pPr>
        <w:spacing w:after="0"/>
        <w:ind w:left="0"/>
        <w:jc w:val="both"/>
      </w:pPr>
      <w:r>
        <w:rPr>
          <w:rFonts w:ascii="Times New Roman"/>
          <w:b w:val="false"/>
          <w:i w:val="false"/>
          <w:color w:val="000000"/>
          <w:sz w:val="28"/>
        </w:rPr>
        <w:t>      Любые споры, разногласия или претензии, вытекающие из или связанные с толкованием, применением или исполнением Соглашения, включая его существование, законность или прекращение действия, которые не могут быть урегулированы мирным путем, урегулируются окончательным и обязательным арбитражным решением в соответствии с Диспозитивными нормами арбитража Постоянного арбитражного суда в Гааге с привлечением международных организаций и государств, в соответствии с действием на момент настоящего Соглашения. Количество судей арбитражного суда, назначаемых в соответствии с вышеуказанными правилами, равно трем.</w:t>
      </w:r>
      <w:r>
        <w:br/>
      </w:r>
      <w:r>
        <w:rPr>
          <w:rFonts w:ascii="Times New Roman"/>
          <w:b w:val="false"/>
          <w:i w:val="false"/>
          <w:color w:val="000000"/>
          <w:sz w:val="28"/>
        </w:rPr>
        <w:t>
      Арбитраж проводится в Париже, Франции, и все производство по делу и предоставляемая документация ведется на английском языке.</w:t>
      </w:r>
    </w:p>
    <w:p>
      <w:pPr>
        <w:spacing w:after="0"/>
        <w:ind w:left="0"/>
        <w:jc w:val="both"/>
      </w:pPr>
      <w:r>
        <w:rPr>
          <w:rFonts w:ascii="Times New Roman"/>
          <w:b w:val="false"/>
          <w:i w:val="false"/>
          <w:color w:val="000000"/>
          <w:sz w:val="28"/>
        </w:rPr>
        <w:t>      </w:t>
      </w:r>
      <w:r>
        <w:rPr>
          <w:rFonts w:ascii="Times New Roman"/>
          <w:b/>
          <w:i w:val="false"/>
          <w:color w:val="000000"/>
          <w:sz w:val="28"/>
        </w:rPr>
        <w:t>7. Вступление в силу.</w:t>
      </w:r>
    </w:p>
    <w:p>
      <w:pPr>
        <w:spacing w:after="0"/>
        <w:ind w:left="0"/>
        <w:jc w:val="both"/>
      </w:pPr>
      <w:r>
        <w:rPr>
          <w:rFonts w:ascii="Times New Roman"/>
          <w:b w:val="false"/>
          <w:i w:val="false"/>
          <w:color w:val="000000"/>
          <w:sz w:val="28"/>
        </w:rPr>
        <w:t>      Настоящее Соглашение вступает в силу в момент его подписания последней из двух Сторон.</w:t>
      </w:r>
      <w:r>
        <w:br/>
      </w:r>
      <w:r>
        <w:rPr>
          <w:rFonts w:ascii="Times New Roman"/>
          <w:b w:val="false"/>
          <w:i w:val="false"/>
          <w:color w:val="000000"/>
          <w:sz w:val="28"/>
        </w:rPr>
        <w:t>
      Начало реализации Проекта назначено на 1 декабря 2011 г. и подлежит условию предварительного подписания отдельного Соглашения о денежном вкладе между ОЭСР и ЕС относительно остающейся части финансирования, необходимой для реализации Проекта (четыре миллиона евро).</w:t>
      </w:r>
      <w:r>
        <w:br/>
      </w:r>
      <w:r>
        <w:rPr>
          <w:rFonts w:ascii="Times New Roman"/>
          <w:b w:val="false"/>
          <w:i w:val="false"/>
          <w:color w:val="000000"/>
          <w:sz w:val="28"/>
        </w:rPr>
        <w:t>
      Срок реализации настоящего Соглашения составляет 42 месяца либо продолжается до того момента, когда Сторонами будут исполнены все обязательства, содержащиеся в настоящем Соглашении, в зависимости от того какое из событий наступит раньше.</w:t>
      </w:r>
      <w:r>
        <w:br/>
      </w:r>
      <w:r>
        <w:rPr>
          <w:rFonts w:ascii="Times New Roman"/>
          <w:b w:val="false"/>
          <w:i w:val="false"/>
          <w:color w:val="000000"/>
          <w:sz w:val="28"/>
        </w:rPr>
        <w:t>
      Совершено "___" ____________ 2011 года в двух экземплярах, каждый на казахском, русском и английском языках, причем все тексты имеют одинаковую силу. В случае возникновения разногласий при толковании положений настоящего Соглашения, Стороны обращаются к тексту на английском языке.</w:t>
      </w:r>
    </w:p>
    <w:p>
      <w:pPr>
        <w:spacing w:after="0"/>
        <w:ind w:left="0"/>
        <w:jc w:val="both"/>
      </w:pPr>
      <w:r>
        <w:rPr>
          <w:rFonts w:ascii="Times New Roman"/>
          <w:b w:val="false"/>
          <w:i/>
          <w:color w:val="000000"/>
          <w:sz w:val="28"/>
        </w:rPr>
        <w:t>         За Правительство           За Организацию экономического</w:t>
      </w:r>
      <w:r>
        <w:br/>
      </w:r>
      <w:r>
        <w:rPr>
          <w:rFonts w:ascii="Times New Roman"/>
          <w:b w:val="false"/>
          <w:i w:val="false"/>
          <w:color w:val="000000"/>
          <w:sz w:val="28"/>
        </w:rPr>
        <w:t>
</w:t>
      </w:r>
      <w:r>
        <w:rPr>
          <w:rFonts w:ascii="Times New Roman"/>
          <w:b w:val="false"/>
          <w:i/>
          <w:color w:val="000000"/>
          <w:sz w:val="28"/>
        </w:rPr>
        <w:t>      Республики Казахстан           сотрудничества и развития</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Организацией  </w:t>
      </w:r>
      <w:r>
        <w:br/>
      </w:r>
      <w:r>
        <w:rPr>
          <w:rFonts w:ascii="Times New Roman"/>
          <w:b w:val="false"/>
          <w:i w:val="false"/>
          <w:color w:val="000000"/>
          <w:sz w:val="28"/>
        </w:rPr>
        <w:t>
экономического сотрудничества и развития</w:t>
      </w:r>
      <w:r>
        <w:br/>
      </w:r>
      <w:r>
        <w:rPr>
          <w:rFonts w:ascii="Times New Roman"/>
          <w:b w:val="false"/>
          <w:i w:val="false"/>
          <w:color w:val="000000"/>
          <w:sz w:val="28"/>
        </w:rPr>
        <w:t xml:space="preserve">
о реализации проекта "Участие прямых  </w:t>
      </w:r>
      <w:r>
        <w:br/>
      </w:r>
      <w:r>
        <w:rPr>
          <w:rFonts w:ascii="Times New Roman"/>
          <w:b w:val="false"/>
          <w:i w:val="false"/>
          <w:color w:val="000000"/>
          <w:sz w:val="28"/>
        </w:rPr>
        <w:t>
иностранных инвестиций в развитии малого</w:t>
      </w:r>
      <w:r>
        <w:br/>
      </w:r>
      <w:r>
        <w:rPr>
          <w:rFonts w:ascii="Times New Roman"/>
          <w:b w:val="false"/>
          <w:i w:val="false"/>
          <w:color w:val="000000"/>
          <w:sz w:val="28"/>
        </w:rPr>
        <w:t xml:space="preserve">
и среднего бизнеса"          </w:t>
      </w:r>
    </w:p>
    <w:p>
      <w:pPr>
        <w:spacing w:after="0"/>
        <w:ind w:left="0"/>
        <w:jc w:val="both"/>
      </w:pPr>
      <w:r>
        <w:rPr>
          <w:rFonts w:ascii="Times New Roman"/>
          <w:b/>
          <w:i w:val="false"/>
          <w:color w:val="000000"/>
          <w:sz w:val="28"/>
        </w:rPr>
        <w:t>                    Техническая спецификация</w:t>
      </w:r>
    </w:p>
    <w:p>
      <w:pPr>
        <w:spacing w:after="0"/>
        <w:ind w:left="0"/>
        <w:jc w:val="both"/>
      </w:pPr>
      <w:r>
        <w:rPr>
          <w:rFonts w:ascii="Times New Roman"/>
          <w:b w:val="false"/>
          <w:i w:val="false"/>
          <w:color w:val="000000"/>
          <w:sz w:val="28"/>
        </w:rPr>
        <w:t>                           ОПИСАНИЕ ПРОЕКТА</w:t>
      </w:r>
    </w:p>
    <w:p>
      <w:pPr>
        <w:spacing w:after="0"/>
        <w:ind w:left="0"/>
        <w:jc w:val="both"/>
      </w:pPr>
      <w:r>
        <w:rPr>
          <w:rFonts w:ascii="Times New Roman"/>
          <w:b/>
          <w:i w:val="false"/>
          <w:color w:val="000000"/>
          <w:sz w:val="28"/>
        </w:rPr>
        <w:t>Общая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4"/>
        <w:gridCol w:w="9996"/>
      </w:tblGrid>
      <w:tr>
        <w:trPr>
          <w:trHeight w:val="102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 к региональному развитию малого и</w:t>
            </w:r>
            <w:r>
              <w:br/>
            </w:r>
            <w:r>
              <w:rPr>
                <w:rFonts w:ascii="Times New Roman"/>
                <w:b w:val="false"/>
                <w:i w:val="false"/>
                <w:color w:val="000000"/>
                <w:sz w:val="20"/>
              </w:rPr>
              <w:t>
среднего бизнеса (далее – МСБ), основанный на</w:t>
            </w:r>
            <w:r>
              <w:br/>
            </w:r>
            <w:r>
              <w:rPr>
                <w:rFonts w:ascii="Times New Roman"/>
                <w:b w:val="false"/>
                <w:i w:val="false"/>
                <w:color w:val="000000"/>
                <w:sz w:val="20"/>
              </w:rPr>
              <w:t>
прямых иностранных инвестициях (далее – ПИИ), в</w:t>
            </w:r>
            <w:r>
              <w:br/>
            </w:r>
            <w:r>
              <w:rPr>
                <w:rFonts w:ascii="Times New Roman"/>
                <w:b w:val="false"/>
                <w:i w:val="false"/>
                <w:color w:val="000000"/>
                <w:sz w:val="20"/>
              </w:rPr>
              <w:t>
Республике Казахстан</w:t>
            </w:r>
          </w:p>
        </w:tc>
      </w:tr>
      <w:tr>
        <w:trPr>
          <w:trHeight w:val="540"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Локализация</w:t>
            </w:r>
            <w:r>
              <w:br/>
            </w:r>
            <w:r>
              <w:rPr>
                <w:rFonts w:ascii="Times New Roman"/>
                <w:b w:val="false"/>
                <w:i w:val="false"/>
                <w:color w:val="000000"/>
                <w:sz w:val="20"/>
              </w:rPr>
              <w:t>
проекта</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r>
      <w:tr>
        <w:trPr>
          <w:trHeight w:val="885"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заявителя</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 экономическому сотрудничеству и</w:t>
            </w:r>
            <w:r>
              <w:br/>
            </w:r>
            <w:r>
              <w:rPr>
                <w:rFonts w:ascii="Times New Roman"/>
                <w:b w:val="false"/>
                <w:i w:val="false"/>
                <w:color w:val="000000"/>
                <w:sz w:val="20"/>
              </w:rPr>
              <w:t>
развитию (далее – ОЭСР)</w:t>
            </w:r>
          </w:p>
        </w:tc>
      </w:tr>
      <w:tr>
        <w:trPr>
          <w:trHeight w:val="795" w:hRule="atLeast"/>
        </w:trPr>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продолжительность</w:t>
            </w:r>
            <w:r>
              <w:br/>
            </w:r>
            <w:r>
              <w:rPr>
                <w:rFonts w:ascii="Times New Roman"/>
                <w:b w:val="false"/>
                <w:i w:val="false"/>
                <w:color w:val="000000"/>
                <w:sz w:val="20"/>
              </w:rPr>
              <w:t>
проекта</w:t>
            </w:r>
          </w:p>
        </w:tc>
        <w:tc>
          <w:tcPr>
            <w:tcW w:w="9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месяца</w:t>
            </w:r>
          </w:p>
        </w:tc>
      </w:tr>
    </w:tbl>
    <w:p>
      <w:pPr>
        <w:spacing w:after="0"/>
        <w:ind w:left="0"/>
        <w:jc w:val="both"/>
      </w:pPr>
      <w:r>
        <w:rPr>
          <w:rFonts w:ascii="Times New Roman"/>
          <w:b/>
          <w:i w:val="false"/>
          <w:color w:val="000000"/>
          <w:sz w:val="28"/>
        </w:rPr>
        <w:t>Стоимость акции и сумма, запрашиваемая у государственного заказчика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7"/>
        <w:gridCol w:w="4560"/>
        <w:gridCol w:w="4603"/>
      </w:tblGrid>
      <w:tr>
        <w:trPr>
          <w:trHeight w:val="1020"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приемлемая</w:t>
            </w:r>
            <w:r>
              <w:br/>
            </w:r>
            <w:r>
              <w:rPr>
                <w:rFonts w:ascii="Times New Roman"/>
                <w:b w:val="false"/>
                <w:i w:val="false"/>
                <w:color w:val="000000"/>
                <w:sz w:val="20"/>
              </w:rPr>
              <w:t>
стоимость проекта (A)</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запрашиваемая</w:t>
            </w:r>
            <w:r>
              <w:br/>
            </w:r>
            <w:r>
              <w:rPr>
                <w:rFonts w:ascii="Times New Roman"/>
                <w:b w:val="false"/>
                <w:i w:val="false"/>
                <w:color w:val="000000"/>
                <w:sz w:val="20"/>
              </w:rPr>
              <w:t>
у государственного</w:t>
            </w:r>
            <w:r>
              <w:br/>
            </w:r>
            <w:r>
              <w:rPr>
                <w:rFonts w:ascii="Times New Roman"/>
                <w:b w:val="false"/>
                <w:i w:val="false"/>
                <w:color w:val="000000"/>
                <w:sz w:val="20"/>
              </w:rPr>
              <w:t>
заказчика (B)</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общей приемлемой</w:t>
            </w:r>
            <w:r>
              <w:br/>
            </w:r>
            <w:r>
              <w:rPr>
                <w:rFonts w:ascii="Times New Roman"/>
                <w:b w:val="false"/>
                <w:i w:val="false"/>
                <w:color w:val="000000"/>
                <w:sz w:val="20"/>
              </w:rPr>
              <w:t>
стоимости акции</w:t>
            </w:r>
            <w:r>
              <w:br/>
            </w:r>
            <w:r>
              <w:rPr>
                <w:rFonts w:ascii="Times New Roman"/>
                <w:b w:val="false"/>
                <w:i w:val="false"/>
                <w:color w:val="000000"/>
                <w:sz w:val="20"/>
              </w:rPr>
              <w:t>
(B/Ax100)</w:t>
            </w:r>
          </w:p>
        </w:tc>
      </w:tr>
      <w:tr>
        <w:trPr>
          <w:trHeight w:val="315" w:hRule="atLeast"/>
        </w:trPr>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 Евро</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 Евро</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33,33 %</w:t>
            </w:r>
          </w:p>
        </w:tc>
      </w:tr>
    </w:tbl>
    <w:p>
      <w:pPr>
        <w:spacing w:after="0"/>
        <w:ind w:left="0"/>
        <w:jc w:val="both"/>
      </w:pPr>
      <w:r>
        <w:rPr>
          <w:rFonts w:ascii="Times New Roman"/>
          <w:b/>
          <w:i w:val="false"/>
          <w:color w:val="000000"/>
          <w:sz w:val="28"/>
        </w:rPr>
        <w:t>Резюме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0"/>
        <w:gridCol w:w="9790"/>
      </w:tblGrid>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продолжительность</w:t>
            </w:r>
            <w:r>
              <w:br/>
            </w:r>
            <w:r>
              <w:rPr>
                <w:rFonts w:ascii="Times New Roman"/>
                <w:b w:val="false"/>
                <w:i w:val="false"/>
                <w:color w:val="000000"/>
                <w:sz w:val="20"/>
              </w:rPr>
              <w:t>
проекта</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месяца</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проекта</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Общая цель:</w:t>
            </w:r>
            <w:r>
              <w:rPr>
                <w:rFonts w:ascii="Times New Roman"/>
                <w:b w:val="false"/>
                <w:i w:val="false"/>
                <w:color w:val="000000"/>
                <w:sz w:val="20"/>
              </w:rPr>
              <w:t xml:space="preserve"> Содействие региональному развитию и</w:t>
            </w:r>
            <w:r>
              <w:br/>
            </w:r>
            <w:r>
              <w:rPr>
                <w:rFonts w:ascii="Times New Roman"/>
                <w:b w:val="false"/>
                <w:i w:val="false"/>
                <w:color w:val="000000"/>
                <w:sz w:val="20"/>
              </w:rPr>
              <w:t>
диверсификация экономики</w:t>
            </w:r>
            <w:r>
              <w:br/>
            </w:r>
            <w:r>
              <w:rPr>
                <w:rFonts w:ascii="Times New Roman"/>
                <w:b w:val="false"/>
                <w:i w:val="false"/>
                <w:color w:val="000000"/>
                <w:sz w:val="20"/>
              </w:rPr>
              <w:t>
</w:t>
            </w:r>
            <w:r>
              <w:rPr>
                <w:rFonts w:ascii="Times New Roman"/>
                <w:b w:val="false"/>
                <w:i/>
                <w:color w:val="000000"/>
                <w:sz w:val="20"/>
              </w:rPr>
              <w:t>Частная цель:</w:t>
            </w:r>
            <w:r>
              <w:rPr>
                <w:rFonts w:ascii="Times New Roman"/>
                <w:b w:val="false"/>
                <w:i w:val="false"/>
                <w:color w:val="000000"/>
                <w:sz w:val="20"/>
              </w:rPr>
              <w:t xml:space="preserve"> Содействие укреплению</w:t>
            </w:r>
            <w:r>
              <w:br/>
            </w:r>
            <w:r>
              <w:rPr>
                <w:rFonts w:ascii="Times New Roman"/>
                <w:b w:val="false"/>
                <w:i w:val="false"/>
                <w:color w:val="000000"/>
                <w:sz w:val="20"/>
              </w:rPr>
              <w:t>
регионального потенциала МСБ на основании</w:t>
            </w:r>
            <w:r>
              <w:br/>
            </w:r>
            <w:r>
              <w:rPr>
                <w:rFonts w:ascii="Times New Roman"/>
                <w:b w:val="false"/>
                <w:i w:val="false"/>
                <w:color w:val="000000"/>
                <w:sz w:val="20"/>
              </w:rPr>
              <w:t>
подхода, использующего возможности ПИИ на</w:t>
            </w:r>
            <w:r>
              <w:br/>
            </w:r>
            <w:r>
              <w:rPr>
                <w:rFonts w:ascii="Times New Roman"/>
                <w:b w:val="false"/>
                <w:i w:val="false"/>
                <w:color w:val="000000"/>
                <w:sz w:val="20"/>
              </w:rPr>
              <w:t>
региональном уровне.</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Партнер</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 Республики Казахстан: в лице</w:t>
            </w:r>
            <w:r>
              <w:br/>
            </w:r>
            <w:r>
              <w:rPr>
                <w:rFonts w:ascii="Times New Roman"/>
                <w:b w:val="false"/>
                <w:i w:val="false"/>
                <w:color w:val="000000"/>
                <w:sz w:val="20"/>
              </w:rPr>
              <w:t>
Министерства экономического развития и торговли</w:t>
            </w:r>
            <w:r>
              <w:br/>
            </w:r>
            <w:r>
              <w:rPr>
                <w:rFonts w:ascii="Times New Roman"/>
                <w:b w:val="false"/>
                <w:i w:val="false"/>
                <w:color w:val="000000"/>
                <w:sz w:val="20"/>
              </w:rPr>
              <w:t>
Республики Казахстан (далее – МЭРТ), а также</w:t>
            </w:r>
            <w:r>
              <w:br/>
            </w:r>
            <w:r>
              <w:rPr>
                <w:rFonts w:ascii="Times New Roman"/>
                <w:b w:val="false"/>
                <w:i w:val="false"/>
                <w:color w:val="000000"/>
                <w:sz w:val="20"/>
              </w:rPr>
              <w:t>
региональные представители политических и</w:t>
            </w:r>
            <w:r>
              <w:br/>
            </w:r>
            <w:r>
              <w:rPr>
                <w:rFonts w:ascii="Times New Roman"/>
                <w:b w:val="false"/>
                <w:i w:val="false"/>
                <w:color w:val="000000"/>
                <w:sz w:val="20"/>
              </w:rPr>
              <w:t>
экономических кругов.</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Целевая группа</w:t>
            </w:r>
            <w:r>
              <w:br/>
            </w:r>
            <w:r>
              <w:rPr>
                <w:rFonts w:ascii="Times New Roman"/>
                <w:b w:val="false"/>
                <w:i w:val="false"/>
                <w:color w:val="000000"/>
                <w:sz w:val="20"/>
              </w:rPr>
              <w:t>
(группы)</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органы Республики Казахстан,</w:t>
            </w:r>
            <w:r>
              <w:br/>
            </w:r>
            <w:r>
              <w:rPr>
                <w:rFonts w:ascii="Times New Roman"/>
                <w:b w:val="false"/>
                <w:i w:val="false"/>
                <w:color w:val="000000"/>
                <w:sz w:val="20"/>
              </w:rPr>
              <w:t>
ответственные за привлечение инвестиций и</w:t>
            </w:r>
            <w:r>
              <w:br/>
            </w:r>
            <w:r>
              <w:rPr>
                <w:rFonts w:ascii="Times New Roman"/>
                <w:b w:val="false"/>
                <w:i w:val="false"/>
                <w:color w:val="000000"/>
                <w:sz w:val="20"/>
              </w:rPr>
              <w:t>
развитие МСБ, компании и бизнес-ассоциации</w:t>
            </w:r>
            <w:r>
              <w:br/>
            </w:r>
            <w:r>
              <w:rPr>
                <w:rFonts w:ascii="Times New Roman"/>
                <w:b w:val="false"/>
                <w:i w:val="false"/>
                <w:color w:val="000000"/>
                <w:sz w:val="20"/>
              </w:rPr>
              <w:t>
внутреннего частного сектора, а также</w:t>
            </w:r>
            <w:r>
              <w:br/>
            </w:r>
            <w:r>
              <w:rPr>
                <w:rFonts w:ascii="Times New Roman"/>
                <w:b w:val="false"/>
                <w:i w:val="false"/>
                <w:color w:val="000000"/>
                <w:sz w:val="20"/>
              </w:rPr>
              <w:t>
иностранные инвесторы.</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Конечные</w:t>
            </w:r>
            <w:r>
              <w:br/>
            </w:r>
            <w:r>
              <w:rPr>
                <w:rFonts w:ascii="Times New Roman"/>
                <w:b w:val="false"/>
                <w:i w:val="false"/>
                <w:color w:val="000000"/>
                <w:sz w:val="20"/>
              </w:rPr>
              <w:t>
бенефициары</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Граждане Республики Казахстан</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результаты</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поможет диверсифицировать инвестиции</w:t>
            </w:r>
            <w:r>
              <w:br/>
            </w:r>
            <w:r>
              <w:rPr>
                <w:rFonts w:ascii="Times New Roman"/>
                <w:b w:val="false"/>
                <w:i w:val="false"/>
                <w:color w:val="000000"/>
                <w:sz w:val="20"/>
              </w:rPr>
              <w:t>
и улучшить конкурентоспособность и развитие</w:t>
            </w:r>
            <w:r>
              <w:br/>
            </w:r>
            <w:r>
              <w:rPr>
                <w:rFonts w:ascii="Times New Roman"/>
                <w:b w:val="false"/>
                <w:i w:val="false"/>
                <w:color w:val="000000"/>
                <w:sz w:val="20"/>
              </w:rPr>
              <w:t>
частного сектора в регионах Казахстана через</w:t>
            </w:r>
            <w:r>
              <w:br/>
            </w:r>
            <w:r>
              <w:rPr>
                <w:rFonts w:ascii="Times New Roman"/>
                <w:b w:val="false"/>
                <w:i w:val="false"/>
                <w:color w:val="000000"/>
                <w:sz w:val="20"/>
              </w:rPr>
              <w:t>
разработку и реализацию реформ, направленных на</w:t>
            </w:r>
            <w:r>
              <w:br/>
            </w:r>
            <w:r>
              <w:rPr>
                <w:rFonts w:ascii="Times New Roman"/>
                <w:b w:val="false"/>
                <w:i w:val="false"/>
                <w:color w:val="000000"/>
                <w:sz w:val="20"/>
              </w:rPr>
              <w:t>
улучшение бизнес-климата. В более конкретном</w:t>
            </w:r>
            <w:r>
              <w:br/>
            </w:r>
            <w:r>
              <w:rPr>
                <w:rFonts w:ascii="Times New Roman"/>
                <w:b w:val="false"/>
                <w:i w:val="false"/>
                <w:color w:val="000000"/>
                <w:sz w:val="20"/>
              </w:rPr>
              <w:t>
плане, проект обеспечит политическую основу</w:t>
            </w:r>
            <w:r>
              <w:br/>
            </w:r>
            <w:r>
              <w:rPr>
                <w:rFonts w:ascii="Times New Roman"/>
                <w:b w:val="false"/>
                <w:i w:val="false"/>
                <w:color w:val="000000"/>
                <w:sz w:val="20"/>
              </w:rPr>
              <w:t>
для:</w:t>
            </w:r>
          </w:p>
          <w:p>
            <w:pPr>
              <w:numPr>
                <w:ilvl w:val="0"/>
                <w:numId w:val="1"/>
              </w:numPr>
              <w:spacing w:after="0"/>
              <w:jc w:val="both"/>
            </w:pPr>
            <w:r>
              <w:rPr>
                <w:rFonts w:ascii="Times New Roman"/>
                <w:b w:val="false"/>
                <w:i w:val="false"/>
                <w:color w:val="000000"/>
                <w:sz w:val="20"/>
              </w:rPr>
              <w:t xml:space="preserve">привлечения ПИИ в различные регионы </w:t>
            </w:r>
          </w:p>
          <w:p>
            <w:pPr>
              <w:numPr>
                <w:ilvl w:val="0"/>
                <w:numId w:val="1"/>
              </w:numPr>
              <w:spacing w:after="0"/>
              <w:jc w:val="both"/>
            </w:pPr>
            <w:r>
              <w:rPr>
                <w:rFonts w:ascii="Times New Roman"/>
                <w:b w:val="false"/>
                <w:i w:val="false"/>
                <w:color w:val="000000"/>
                <w:sz w:val="20"/>
              </w:rPr>
              <w:t>более высокой конкурентоспособности</w:t>
            </w:r>
            <w:r>
              <w:br/>
            </w:r>
            <w:r>
              <w:rPr>
                <w:rFonts w:ascii="Times New Roman"/>
                <w:b w:val="false"/>
                <w:i w:val="false"/>
                <w:color w:val="000000"/>
                <w:sz w:val="20"/>
              </w:rPr>
              <w:t>
регионов, секторов и МСБ, и таким образом,</w:t>
            </w:r>
            <w:r>
              <w:br/>
            </w:r>
            <w:r>
              <w:rPr>
                <w:rFonts w:ascii="Times New Roman"/>
                <w:b w:val="false"/>
                <w:i w:val="false"/>
                <w:color w:val="000000"/>
                <w:sz w:val="20"/>
              </w:rPr>
              <w:t xml:space="preserve">
уменьшения неравенства </w:t>
            </w:r>
          </w:p>
          <w:p>
            <w:pPr>
              <w:numPr>
                <w:ilvl w:val="0"/>
                <w:numId w:val="1"/>
              </w:numPr>
              <w:spacing w:after="0"/>
              <w:jc w:val="both"/>
            </w:pPr>
            <w:r>
              <w:rPr>
                <w:rFonts w:ascii="Times New Roman"/>
                <w:b w:val="false"/>
                <w:i w:val="false"/>
                <w:color w:val="000000"/>
                <w:sz w:val="20"/>
              </w:rPr>
              <w:t>снижения неравенства в уровне валового</w:t>
            </w:r>
            <w:r>
              <w:br/>
            </w:r>
            <w:r>
              <w:rPr>
                <w:rFonts w:ascii="Times New Roman"/>
                <w:b w:val="false"/>
                <w:i w:val="false"/>
                <w:color w:val="000000"/>
                <w:sz w:val="20"/>
              </w:rPr>
              <w:t xml:space="preserve">
регионального продукта </w:t>
            </w:r>
          </w:p>
          <w:p>
            <w:pPr>
              <w:numPr>
                <w:ilvl w:val="0"/>
                <w:numId w:val="1"/>
              </w:numPr>
              <w:spacing w:after="0"/>
              <w:jc w:val="both"/>
            </w:pPr>
            <w:r>
              <w:rPr>
                <w:rFonts w:ascii="Times New Roman"/>
                <w:b w:val="false"/>
                <w:i w:val="false"/>
                <w:color w:val="000000"/>
                <w:sz w:val="20"/>
              </w:rPr>
              <w:t xml:space="preserve">выявления регионального потенциала </w:t>
            </w:r>
          </w:p>
          <w:p>
            <w:pPr>
              <w:numPr>
                <w:ilvl w:val="0"/>
                <w:numId w:val="1"/>
              </w:numPr>
              <w:spacing w:after="0"/>
              <w:jc w:val="both"/>
            </w:pPr>
            <w:r>
              <w:rPr>
                <w:rFonts w:ascii="Times New Roman"/>
                <w:b w:val="false"/>
                <w:i w:val="false"/>
                <w:color w:val="000000"/>
                <w:sz w:val="20"/>
              </w:rPr>
              <w:t>уменьшения политических барьеров на</w:t>
            </w:r>
            <w:r>
              <w:br/>
            </w:r>
            <w:r>
              <w:rPr>
                <w:rFonts w:ascii="Times New Roman"/>
                <w:b w:val="false"/>
                <w:i w:val="false"/>
                <w:color w:val="000000"/>
                <w:sz w:val="20"/>
              </w:rPr>
              <w:t xml:space="preserve">
региональном и национальном уровнях </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w:t>
            </w:r>
            <w:r>
              <w:br/>
            </w:r>
            <w:r>
              <w:rPr>
                <w:rFonts w:ascii="Times New Roman"/>
                <w:b w:val="false"/>
                <w:i w:val="false"/>
                <w:color w:val="000000"/>
                <w:sz w:val="20"/>
              </w:rPr>
              <w:t>
мероприятия</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1 посвящен сбору информации, на которой</w:t>
            </w:r>
            <w:r>
              <w:br/>
            </w:r>
            <w:r>
              <w:rPr>
                <w:rFonts w:ascii="Times New Roman"/>
                <w:b w:val="false"/>
                <w:i w:val="false"/>
                <w:color w:val="000000"/>
                <w:sz w:val="20"/>
              </w:rPr>
              <w:t>
будут основываться:</w:t>
            </w:r>
          </w:p>
          <w:p>
            <w:pPr>
              <w:numPr>
                <w:ilvl w:val="0"/>
                <w:numId w:val="2"/>
              </w:numPr>
              <w:spacing w:after="0"/>
              <w:jc w:val="both"/>
            </w:pPr>
            <w:r>
              <w:rPr>
                <w:rFonts w:ascii="Times New Roman"/>
                <w:b w:val="false"/>
                <w:i w:val="false"/>
                <w:color w:val="000000"/>
                <w:sz w:val="20"/>
              </w:rPr>
              <w:t>отбор трех пилотных регионов и секторов в</w:t>
            </w:r>
            <w:r>
              <w:br/>
            </w:r>
            <w:r>
              <w:rPr>
                <w:rFonts w:ascii="Times New Roman"/>
                <w:b w:val="false"/>
                <w:i w:val="false"/>
                <w:color w:val="000000"/>
                <w:sz w:val="20"/>
              </w:rPr>
              <w:t xml:space="preserve">
регионах для ПИИ и развития МСБ; </w:t>
            </w:r>
          </w:p>
          <w:p>
            <w:pPr>
              <w:numPr>
                <w:ilvl w:val="0"/>
                <w:numId w:val="2"/>
              </w:numPr>
              <w:spacing w:after="0"/>
              <w:jc w:val="both"/>
            </w:pPr>
            <w:r>
              <w:rPr>
                <w:rFonts w:ascii="Times New Roman"/>
                <w:b w:val="false"/>
                <w:i w:val="false"/>
                <w:color w:val="000000"/>
                <w:sz w:val="20"/>
              </w:rPr>
              <w:t>выработка инвестиционных документов для</w:t>
            </w:r>
            <w:r>
              <w:br/>
            </w:r>
            <w:r>
              <w:rPr>
                <w:rFonts w:ascii="Times New Roman"/>
                <w:b w:val="false"/>
                <w:i w:val="false"/>
                <w:color w:val="000000"/>
                <w:sz w:val="20"/>
              </w:rPr>
              <w:t xml:space="preserve">
иностранных инвесторов; </w:t>
            </w:r>
          </w:p>
          <w:p>
            <w:pPr>
              <w:numPr>
                <w:ilvl w:val="0"/>
                <w:numId w:val="2"/>
              </w:numPr>
              <w:spacing w:after="0"/>
              <w:jc w:val="both"/>
            </w:pPr>
            <w:r>
              <w:rPr>
                <w:rFonts w:ascii="Times New Roman"/>
                <w:b w:val="false"/>
                <w:i w:val="false"/>
                <w:color w:val="000000"/>
                <w:sz w:val="20"/>
              </w:rPr>
              <w:t>разработка организационного плана сети</w:t>
            </w:r>
            <w:r>
              <w:br/>
            </w:r>
            <w:r>
              <w:rPr>
                <w:rFonts w:ascii="Times New Roman"/>
                <w:b w:val="false"/>
                <w:i w:val="false"/>
                <w:color w:val="000000"/>
                <w:sz w:val="20"/>
              </w:rPr>
              <w:t>
Агентства содействия инвестициям</w:t>
            </w:r>
            <w:r>
              <w:br/>
            </w:r>
            <w:r>
              <w:rPr>
                <w:rFonts w:ascii="Times New Roman"/>
                <w:b w:val="false"/>
                <w:i w:val="false"/>
                <w:color w:val="000000"/>
                <w:sz w:val="20"/>
              </w:rPr>
              <w:t xml:space="preserve">
(далее – АСИ); </w:t>
            </w:r>
          </w:p>
          <w:p>
            <w:pPr>
              <w:numPr>
                <w:ilvl w:val="0"/>
                <w:numId w:val="2"/>
              </w:numPr>
              <w:spacing w:after="0"/>
              <w:jc w:val="both"/>
            </w:pPr>
            <w:r>
              <w:rPr>
                <w:rFonts w:ascii="Times New Roman"/>
                <w:b w:val="false"/>
                <w:i w:val="false"/>
                <w:color w:val="000000"/>
                <w:sz w:val="20"/>
              </w:rPr>
              <w:t>разработка стратегии взаимосвязи для трех</w:t>
            </w:r>
            <w:r>
              <w:br/>
            </w:r>
            <w:r>
              <w:rPr>
                <w:rFonts w:ascii="Times New Roman"/>
                <w:b w:val="false"/>
                <w:i w:val="false"/>
                <w:color w:val="000000"/>
                <w:sz w:val="20"/>
              </w:rPr>
              <w:t xml:space="preserve">
пилотных регионов; </w:t>
            </w:r>
          </w:p>
          <w:p>
            <w:pPr>
              <w:numPr>
                <w:ilvl w:val="0"/>
                <w:numId w:val="2"/>
              </w:numPr>
              <w:spacing w:after="0"/>
              <w:jc w:val="both"/>
            </w:pPr>
            <w:r>
              <w:rPr>
                <w:rFonts w:ascii="Times New Roman"/>
                <w:b w:val="false"/>
                <w:i w:val="false"/>
                <w:color w:val="000000"/>
                <w:sz w:val="20"/>
              </w:rPr>
              <w:t>определение общей стратегии системы</w:t>
            </w:r>
            <w:r>
              <w:br/>
            </w:r>
            <w:r>
              <w:rPr>
                <w:rFonts w:ascii="Times New Roman"/>
                <w:b w:val="false"/>
                <w:i w:val="false"/>
                <w:color w:val="000000"/>
                <w:sz w:val="20"/>
              </w:rPr>
              <w:t>
мониторинга и ключевых показателей</w:t>
            </w:r>
            <w:r>
              <w:br/>
            </w:r>
            <w:r>
              <w:rPr>
                <w:rFonts w:ascii="Times New Roman"/>
                <w:b w:val="false"/>
                <w:i w:val="false"/>
                <w:color w:val="000000"/>
                <w:sz w:val="20"/>
              </w:rPr>
              <w:t>
эффективности, включая разработку оценки</w:t>
            </w:r>
            <w:r>
              <w:br/>
            </w:r>
            <w:r>
              <w:rPr>
                <w:rFonts w:ascii="Times New Roman"/>
                <w:b w:val="false"/>
                <w:i w:val="false"/>
                <w:color w:val="000000"/>
                <w:sz w:val="20"/>
              </w:rPr>
              <w:t xml:space="preserve">
субсидий для производителей; </w:t>
            </w:r>
          </w:p>
          <w:p>
            <w:pPr>
              <w:numPr>
                <w:ilvl w:val="0"/>
                <w:numId w:val="2"/>
              </w:numPr>
              <w:spacing w:after="0"/>
              <w:jc w:val="both"/>
            </w:pPr>
            <w:r>
              <w:rPr>
                <w:rFonts w:ascii="Times New Roman"/>
                <w:b w:val="false"/>
                <w:i w:val="false"/>
                <w:color w:val="000000"/>
                <w:sz w:val="20"/>
              </w:rPr>
              <w:t>действующие ключевые региональные</w:t>
            </w:r>
            <w:r>
              <w:br/>
            </w:r>
            <w:r>
              <w:rPr>
                <w:rFonts w:ascii="Times New Roman"/>
                <w:b w:val="false"/>
                <w:i w:val="false"/>
                <w:color w:val="000000"/>
                <w:sz w:val="20"/>
              </w:rPr>
              <w:t xml:space="preserve">
заинтересованные стороны. </w:t>
            </w:r>
          </w:p>
          <w:p>
            <w:pPr>
              <w:spacing w:after="20"/>
              <w:ind w:left="20"/>
              <w:jc w:val="both"/>
            </w:pPr>
            <w:r>
              <w:rPr>
                <w:rFonts w:ascii="Times New Roman"/>
                <w:b w:val="false"/>
                <w:i w:val="false"/>
                <w:color w:val="000000"/>
                <w:sz w:val="20"/>
              </w:rPr>
              <w:t>Этапы 2 и 3 направлены на реализацию программ,</w:t>
            </w:r>
            <w:r>
              <w:br/>
            </w:r>
            <w:r>
              <w:rPr>
                <w:rFonts w:ascii="Times New Roman"/>
                <w:b w:val="false"/>
                <w:i w:val="false"/>
                <w:color w:val="000000"/>
                <w:sz w:val="20"/>
              </w:rPr>
              <w:t>
разработанных в течение Этапа 1, в то же время</w:t>
            </w:r>
            <w:r>
              <w:br/>
            </w:r>
            <w:r>
              <w:rPr>
                <w:rFonts w:ascii="Times New Roman"/>
                <w:b w:val="false"/>
                <w:i w:val="false"/>
                <w:color w:val="000000"/>
                <w:sz w:val="20"/>
              </w:rPr>
              <w:t>
с сохранением фокуса на обучении и подготовке</w:t>
            </w:r>
            <w:r>
              <w:br/>
            </w:r>
            <w:r>
              <w:rPr>
                <w:rFonts w:ascii="Times New Roman"/>
                <w:b w:val="false"/>
                <w:i w:val="false"/>
                <w:color w:val="000000"/>
                <w:sz w:val="20"/>
              </w:rPr>
              <w:t>
ключевых региональных участников:</w:t>
            </w:r>
            <w:r>
              <w:br/>
            </w:r>
            <w:r>
              <w:rPr>
                <w:rFonts w:ascii="Times New Roman"/>
                <w:b w:val="false"/>
                <w:i w:val="false"/>
                <w:color w:val="000000"/>
                <w:sz w:val="20"/>
              </w:rPr>
              <w:t>
1. Реализация дорожных карт по стимулированию</w:t>
            </w:r>
            <w:r>
              <w:br/>
            </w:r>
            <w:r>
              <w:rPr>
                <w:rFonts w:ascii="Times New Roman"/>
                <w:b w:val="false"/>
                <w:i w:val="false"/>
                <w:color w:val="000000"/>
                <w:sz w:val="20"/>
              </w:rPr>
              <w:t>
инвестиций для трех отобранных пилотных</w:t>
            </w:r>
            <w:r>
              <w:br/>
            </w:r>
            <w:r>
              <w:rPr>
                <w:rFonts w:ascii="Times New Roman"/>
                <w:b w:val="false"/>
                <w:i w:val="false"/>
                <w:color w:val="000000"/>
                <w:sz w:val="20"/>
              </w:rPr>
              <w:t>
регионов (разработаны на Этапе 1)</w:t>
            </w:r>
            <w:r>
              <w:br/>
            </w:r>
            <w:r>
              <w:rPr>
                <w:rFonts w:ascii="Times New Roman"/>
                <w:b w:val="false"/>
                <w:i w:val="false"/>
                <w:color w:val="000000"/>
                <w:sz w:val="20"/>
              </w:rPr>
              <w:t>
2. Реализация механизмов управления для</w:t>
            </w:r>
            <w:r>
              <w:br/>
            </w:r>
            <w:r>
              <w:rPr>
                <w:rFonts w:ascii="Times New Roman"/>
                <w:b w:val="false"/>
                <w:i w:val="false"/>
                <w:color w:val="000000"/>
                <w:sz w:val="20"/>
              </w:rPr>
              <w:t>
привлечения ПИИ, как на региональном, так и на</w:t>
            </w:r>
            <w:r>
              <w:br/>
            </w:r>
            <w:r>
              <w:rPr>
                <w:rFonts w:ascii="Times New Roman"/>
                <w:b w:val="false"/>
                <w:i w:val="false"/>
                <w:color w:val="000000"/>
                <w:sz w:val="20"/>
              </w:rPr>
              <w:t>
национальном уровне (разработаны на Этапе 1)</w:t>
            </w:r>
            <w:r>
              <w:br/>
            </w:r>
            <w:r>
              <w:rPr>
                <w:rFonts w:ascii="Times New Roman"/>
                <w:b w:val="false"/>
                <w:i w:val="false"/>
                <w:color w:val="000000"/>
                <w:sz w:val="20"/>
              </w:rPr>
              <w:t>
3. Реализация системы мониторинга общей</w:t>
            </w:r>
            <w:r>
              <w:br/>
            </w:r>
            <w:r>
              <w:rPr>
                <w:rFonts w:ascii="Times New Roman"/>
                <w:b w:val="false"/>
                <w:i w:val="false"/>
                <w:color w:val="000000"/>
                <w:sz w:val="20"/>
              </w:rPr>
              <w:t>
региональной стратегии стимулирования</w:t>
            </w:r>
            <w:r>
              <w:br/>
            </w:r>
            <w:r>
              <w:rPr>
                <w:rFonts w:ascii="Times New Roman"/>
                <w:b w:val="false"/>
                <w:i w:val="false"/>
                <w:color w:val="000000"/>
                <w:sz w:val="20"/>
              </w:rPr>
              <w:t>
инвестиций (разработана на Этапе 1)</w:t>
            </w:r>
            <w:r>
              <w:br/>
            </w:r>
            <w:r>
              <w:rPr>
                <w:rFonts w:ascii="Times New Roman"/>
                <w:b w:val="false"/>
                <w:i w:val="false"/>
                <w:color w:val="000000"/>
                <w:sz w:val="20"/>
              </w:rPr>
              <w:t>
4. Реализация программ по взаимосвязи ПИИ-МСБ в</w:t>
            </w:r>
            <w:r>
              <w:br/>
            </w:r>
            <w:r>
              <w:rPr>
                <w:rFonts w:ascii="Times New Roman"/>
                <w:b w:val="false"/>
                <w:i w:val="false"/>
                <w:color w:val="000000"/>
                <w:sz w:val="20"/>
              </w:rPr>
              <w:t>
регионах (разработаны на Этапе 1)</w:t>
            </w:r>
            <w:r>
              <w:br/>
            </w:r>
            <w:r>
              <w:rPr>
                <w:rFonts w:ascii="Times New Roman"/>
                <w:b w:val="false"/>
                <w:i w:val="false"/>
                <w:color w:val="000000"/>
                <w:sz w:val="20"/>
              </w:rPr>
              <w:t>
5. Создание потенциала путем обучения и</w:t>
            </w:r>
            <w:r>
              <w:br/>
            </w:r>
            <w:r>
              <w:rPr>
                <w:rFonts w:ascii="Times New Roman"/>
                <w:b w:val="false"/>
                <w:i w:val="false"/>
                <w:color w:val="000000"/>
                <w:sz w:val="20"/>
              </w:rPr>
              <w:t>
тренинга ключевых региональных участников</w:t>
            </w:r>
            <w:r>
              <w:br/>
            </w:r>
            <w:r>
              <w:rPr>
                <w:rFonts w:ascii="Times New Roman"/>
                <w:b w:val="false"/>
                <w:i w:val="false"/>
                <w:color w:val="000000"/>
                <w:sz w:val="20"/>
              </w:rPr>
              <w:t>
проекта (разработаны на Этапе 1)</w:t>
            </w:r>
          </w:p>
        </w:tc>
      </w:tr>
    </w:tbl>
    <w:p>
      <w:pPr>
        <w:spacing w:after="0"/>
        <w:ind w:left="0"/>
        <w:jc w:val="left"/>
      </w:pPr>
      <w:r>
        <w:rPr>
          <w:rFonts w:ascii="Times New Roman"/>
          <w:b/>
          <w:i w:val="false"/>
          <w:color w:val="000000"/>
        </w:rPr>
        <w:t xml:space="preserve"> РАБОЧЕЕ РЕЗЮМЕ</w:t>
      </w:r>
    </w:p>
    <w:p>
      <w:pPr>
        <w:spacing w:after="0"/>
        <w:ind w:left="0"/>
        <w:jc w:val="both"/>
      </w:pPr>
      <w:r>
        <w:rPr>
          <w:rFonts w:ascii="Times New Roman"/>
          <w:b w:val="false"/>
          <w:i w:val="false"/>
          <w:color w:val="000000"/>
          <w:sz w:val="28"/>
        </w:rPr>
        <w:t>      В 2010 году, в своем ежегодном обращении Президент Республики Казахстан подчеркнул необходимость еще большей концентрации на экономической диверсификации. Он пояснил, что в продвижении вперед процесса диверсификации ведущую роль сыграло региональное развитие, говоря об этом даже как о "наиболее важном компоненте Стратегического плана развития Республики Казахстан до 2020 года" для Казахстана. Затем он указал на роль МСБ в этом процессе, подчеркнув, что "развитие МСБ должно стать ключевым элементом процесса диверсификации".</w:t>
      </w:r>
      <w:r>
        <w:br/>
      </w:r>
      <w:r>
        <w:rPr>
          <w:rFonts w:ascii="Times New Roman"/>
          <w:b w:val="false"/>
          <w:i w:val="false"/>
          <w:color w:val="000000"/>
          <w:sz w:val="28"/>
        </w:rPr>
        <w:t>
      В 2009 году четыре региона Республики Казахстан произвели примерно половину валового регионального продукта (далее - ВРП) страны. Диверсификация инвестиций по секторам экономики ограничена и в основном имеет место в трех регионах, которые производят половину промышленного ВРП страны. Аналогичная диспропорция распространяется и на прямые иностранные инвестиции, которые сконцентрированы, главным образом, в нескольких регионах. Данные факторы были учтены при разработке "Стратегического плана развития Республики Казахстан до 2020 года".</w:t>
      </w:r>
      <w:r>
        <w:br/>
      </w:r>
      <w:r>
        <w:rPr>
          <w:rFonts w:ascii="Times New Roman"/>
          <w:b w:val="false"/>
          <w:i w:val="false"/>
          <w:color w:val="000000"/>
          <w:sz w:val="28"/>
        </w:rPr>
        <w:t>
      По этим причинам, необходимы дальнейшие увязки между диверсификацией экономики с одной стороны, и ПИИ и региональным развитием с другой стороны. Подход, основанный на спросе и ПИИ, мог бы помочь в решении проблемы неравномерности ВРП, выявить региональный потенциал и сократить политические барьеры. В конечном итоге, это бы привело к более высокой конкурентоспособности регионов, секторов и МСБ, и таким образом, к снижению неравенства в уровне экономического развития. Этот подход уже был успешно реализован в нескольких странах ОЭСР, экономика которых основана на энергетическом комплексе, результатом чего стало более быстрое и в большей степени основанное на потребностях региональное развитие.</w:t>
      </w:r>
      <w:r>
        <w:br/>
      </w:r>
      <w:r>
        <w:rPr>
          <w:rFonts w:ascii="Times New Roman"/>
          <w:b w:val="false"/>
          <w:i w:val="false"/>
          <w:color w:val="000000"/>
          <w:sz w:val="28"/>
        </w:rPr>
        <w:t>
      Предлагаемый подход основан на пяти компонентах, которые включают четыре политические сферы и элемент тренинга, необходимого для создания потенциала:</w:t>
      </w:r>
      <w:r>
        <w:br/>
      </w:r>
      <w:r>
        <w:rPr>
          <w:rFonts w:ascii="Times New Roman"/>
          <w:b w:val="false"/>
          <w:i w:val="false"/>
          <w:color w:val="000000"/>
          <w:sz w:val="28"/>
        </w:rPr>
        <w:t>
      </w:t>
      </w:r>
      <w:r>
        <w:rPr>
          <w:rFonts w:ascii="Times New Roman"/>
          <w:b w:val="false"/>
          <w:i/>
          <w:color w:val="000000"/>
          <w:sz w:val="28"/>
        </w:rPr>
        <w:t>Четыре политические сферы:</w:t>
      </w:r>
      <w:r>
        <w:br/>
      </w:r>
      <w:r>
        <w:rPr>
          <w:rFonts w:ascii="Times New Roman"/>
          <w:b w:val="false"/>
          <w:i w:val="false"/>
          <w:color w:val="000000"/>
          <w:sz w:val="28"/>
        </w:rPr>
        <w:t>
      -  Согласованность стимулирования инвестиций: Как скоординировать и обеспечить синергию национальных и региональных мер по стимулированию инвестиций.</w:t>
      </w:r>
      <w:r>
        <w:br/>
      </w:r>
      <w:r>
        <w:rPr>
          <w:rFonts w:ascii="Times New Roman"/>
          <w:b w:val="false"/>
          <w:i w:val="false"/>
          <w:color w:val="000000"/>
          <w:sz w:val="28"/>
        </w:rPr>
        <w:t>
      -  Управление и стратегия: Как задействовать соответствующие механизмы управления и стратегического планирования для привлечения ПИИ.</w:t>
      </w:r>
      <w:r>
        <w:br/>
      </w:r>
      <w:r>
        <w:rPr>
          <w:rFonts w:ascii="Times New Roman"/>
          <w:b w:val="false"/>
          <w:i w:val="false"/>
          <w:color w:val="000000"/>
          <w:sz w:val="28"/>
        </w:rPr>
        <w:t>
      -  Усиление предпринимательского потенциала посредством программ по созданию деловых связей: как усилить предпринимательский потенциал на региональном уровне посредством передачи навыков и знаний, полученных благодаря ПИИ, то есть через программы установления связей ПИИ-МСБ.</w:t>
      </w:r>
      <w:r>
        <w:br/>
      </w:r>
      <w:r>
        <w:rPr>
          <w:rFonts w:ascii="Times New Roman"/>
          <w:b w:val="false"/>
          <w:i w:val="false"/>
          <w:color w:val="000000"/>
          <w:sz w:val="28"/>
        </w:rPr>
        <w:t>
      -  Показатели эффективности: Как измерить и с чем сравнивать региональное развитие и конкурентоспособность, используя стандартные показатели, включая развитие ПИИ и МСБ.</w:t>
      </w:r>
      <w:r>
        <w:br/>
      </w:r>
      <w:r>
        <w:rPr>
          <w:rFonts w:ascii="Times New Roman"/>
          <w:b w:val="false"/>
          <w:i w:val="false"/>
          <w:color w:val="000000"/>
          <w:sz w:val="28"/>
        </w:rPr>
        <w:t>
      </w:t>
      </w:r>
      <w:r>
        <w:rPr>
          <w:rFonts w:ascii="Times New Roman"/>
          <w:b w:val="false"/>
          <w:i/>
          <w:color w:val="000000"/>
          <w:sz w:val="28"/>
        </w:rPr>
        <w:t>Элемент тренинга:</w:t>
      </w:r>
      <w:r>
        <w:br/>
      </w:r>
      <w:r>
        <w:rPr>
          <w:rFonts w:ascii="Times New Roman"/>
          <w:b w:val="false"/>
          <w:i w:val="false"/>
          <w:color w:val="000000"/>
          <w:sz w:val="28"/>
        </w:rPr>
        <w:t>
      -  Создание потенциала: Как обеспечить должный уровень обучения и подготовки региональных политиков и бизнес-посредников (например, торгово-промышленных палат) для реализации четырех вышеназванных компонентов.</w:t>
      </w:r>
      <w:r>
        <w:br/>
      </w:r>
      <w:r>
        <w:rPr>
          <w:rFonts w:ascii="Times New Roman"/>
          <w:b w:val="false"/>
          <w:i w:val="false"/>
          <w:color w:val="000000"/>
          <w:sz w:val="28"/>
        </w:rPr>
        <w:t>
      - Чтобы дополнить уже предпринимаемые усилия и реализуемые проекты, предлагается обратиться к экспертным знаниям и работе, проводимой с ОЭСР, Европейским союзом (далее - ЕС) и Республикой Казахстан в целях диверсификации источников ПИИ, и использовать их как основу. В рамках полного проекта, включающего одновременно национальные и региональные компоненты, будут проведены заседания рабочих групп для получения экспертной оценки, в целях сравнить обе методики в свете Программы ОЭСР по Конкурентоспособности в Евразии.</w:t>
      </w:r>
    </w:p>
    <w:p>
      <w:pPr>
        <w:spacing w:after="0"/>
        <w:ind w:left="0"/>
        <w:jc w:val="left"/>
      </w:pPr>
      <w:r>
        <w:rPr>
          <w:rFonts w:ascii="Times New Roman"/>
          <w:b/>
          <w:i w:val="false"/>
          <w:color w:val="000000"/>
        </w:rPr>
        <w:t xml:space="preserve"> 1. КОНТЕКСТ: ПОЧЕМУ ПИИ ЯВЛЯЮТСЯ ОСНОВОЙ ПОДХОДА К</w:t>
      </w:r>
      <w:r>
        <w:br/>
      </w:r>
      <w:r>
        <w:rPr>
          <w:rFonts w:ascii="Times New Roman"/>
          <w:b/>
          <w:i w:val="false"/>
          <w:color w:val="000000"/>
        </w:rPr>
        <w:t>
РЕГИОНАЛЬНОМУ РАЗВИТИЮ МСБ?</w:t>
      </w:r>
    </w:p>
    <w:p>
      <w:pPr>
        <w:spacing w:after="0"/>
        <w:ind w:left="0"/>
        <w:jc w:val="both"/>
      </w:pPr>
      <w:r>
        <w:rPr>
          <w:rFonts w:ascii="Times New Roman"/>
          <w:b w:val="false"/>
          <w:i w:val="false"/>
          <w:color w:val="000000"/>
          <w:sz w:val="28"/>
        </w:rPr>
        <w:t>      1.1 Региональная политика: ключевой национальный приоритет</w:t>
      </w:r>
      <w:r>
        <w:br/>
      </w:r>
      <w:r>
        <w:rPr>
          <w:rFonts w:ascii="Times New Roman"/>
          <w:b w:val="false"/>
          <w:i w:val="false"/>
          <w:color w:val="000000"/>
          <w:sz w:val="28"/>
        </w:rPr>
        <w:t>
      1. В недавнем обращении к народу Президента Республики Казахстан были очерчены основные положения экономической политики страны вплоть до 2020 года, и было подчеркнуто, что "новая региональная политика является наиболее важной частью "Стратегического плана развития Республики Казахстан до 2020 года".</w:t>
      </w:r>
      <w:r>
        <w:br/>
      </w:r>
      <w:r>
        <w:rPr>
          <w:rFonts w:ascii="Times New Roman"/>
          <w:b w:val="false"/>
          <w:i w:val="false"/>
          <w:color w:val="000000"/>
          <w:sz w:val="28"/>
        </w:rPr>
        <w:t>
      2. "Дорожная карта бизнеса 2020" направлена на развитие предпринимательства, поддержку и создание малых и средних предприятий в регионах. Целью Программы является "сохранение и создание новых постоянных рабочих мест путем поддержания предпринимательского потенциала в регионах".</w:t>
      </w:r>
      <w:r>
        <w:br/>
      </w:r>
      <w:r>
        <w:rPr>
          <w:rFonts w:ascii="Times New Roman"/>
          <w:b w:val="false"/>
          <w:i w:val="false"/>
          <w:color w:val="000000"/>
          <w:sz w:val="28"/>
        </w:rPr>
        <w:t>
      3. Программа "Дорожная карта бизнеса 2020" реализуется в следующих направлениях:</w:t>
      </w:r>
      <w:r>
        <w:br/>
      </w:r>
      <w:r>
        <w:rPr>
          <w:rFonts w:ascii="Times New Roman"/>
          <w:b w:val="false"/>
          <w:i w:val="false"/>
          <w:color w:val="000000"/>
          <w:sz w:val="28"/>
        </w:rPr>
        <w:t>
      - МЭРТ принимает решения о лимитах финансирования для каждого региона</w:t>
      </w:r>
      <w:r>
        <w:br/>
      </w:r>
      <w:r>
        <w:rPr>
          <w:rFonts w:ascii="Times New Roman"/>
          <w:b w:val="false"/>
          <w:i w:val="false"/>
          <w:color w:val="000000"/>
          <w:sz w:val="28"/>
        </w:rPr>
        <w:t>
      - Решение о лимите финансирования принимается на основании:</w:t>
      </w:r>
      <w:r>
        <w:br/>
      </w:r>
      <w:r>
        <w:rPr>
          <w:rFonts w:ascii="Times New Roman"/>
          <w:b w:val="false"/>
          <w:i w:val="false"/>
          <w:color w:val="000000"/>
          <w:sz w:val="28"/>
        </w:rPr>
        <w:t>
      1) доли региона в общей численности населения</w:t>
      </w:r>
      <w:r>
        <w:br/>
      </w:r>
      <w:r>
        <w:rPr>
          <w:rFonts w:ascii="Times New Roman"/>
          <w:b w:val="false"/>
          <w:i w:val="false"/>
          <w:color w:val="000000"/>
          <w:sz w:val="28"/>
        </w:rPr>
        <w:t>
      2) несырьевой доле валового регионального продукта</w:t>
      </w:r>
      <w:r>
        <w:br/>
      </w:r>
      <w:r>
        <w:rPr>
          <w:rFonts w:ascii="Times New Roman"/>
          <w:b w:val="false"/>
          <w:i w:val="false"/>
          <w:color w:val="000000"/>
          <w:sz w:val="28"/>
        </w:rPr>
        <w:t>
      - Региональные и местные исполнительные органы принимают решение о лимитах финансирования для каждой подпрограммы, после получения согласия от МЭРТ</w:t>
      </w:r>
      <w:r>
        <w:br/>
      </w:r>
      <w:r>
        <w:rPr>
          <w:rFonts w:ascii="Times New Roman"/>
          <w:b w:val="false"/>
          <w:i w:val="false"/>
          <w:color w:val="000000"/>
          <w:sz w:val="28"/>
        </w:rPr>
        <w:t>
      - Субсидирование процентных ставок по кредитам для новых и действующих проектов</w:t>
      </w:r>
      <w:r>
        <w:br/>
      </w:r>
      <w:r>
        <w:rPr>
          <w:rFonts w:ascii="Times New Roman"/>
          <w:b w:val="false"/>
          <w:i w:val="false"/>
          <w:color w:val="000000"/>
          <w:sz w:val="28"/>
        </w:rPr>
        <w:t>
      - Схема частичного гарантирования кредитов для новых проектов</w:t>
      </w:r>
      <w:r>
        <w:br/>
      </w:r>
      <w:r>
        <w:rPr>
          <w:rFonts w:ascii="Times New Roman"/>
          <w:b w:val="false"/>
          <w:i w:val="false"/>
          <w:color w:val="000000"/>
          <w:sz w:val="28"/>
        </w:rPr>
        <w:t>
      - Развитие промышленной инфраструктуры</w:t>
      </w:r>
      <w:r>
        <w:br/>
      </w:r>
      <w:r>
        <w:rPr>
          <w:rFonts w:ascii="Times New Roman"/>
          <w:b w:val="false"/>
          <w:i w:val="false"/>
          <w:color w:val="000000"/>
          <w:sz w:val="28"/>
        </w:rPr>
        <w:t>
      - Сервисная поддержка предпринимателей</w:t>
      </w:r>
      <w:r>
        <w:br/>
      </w:r>
      <w:r>
        <w:rPr>
          <w:rFonts w:ascii="Times New Roman"/>
          <w:b w:val="false"/>
          <w:i w:val="false"/>
          <w:color w:val="000000"/>
          <w:sz w:val="28"/>
        </w:rPr>
        <w:t>
      - Усиление предпринимательского потенциала (начиная с 2011 года), направленную на:</w:t>
      </w:r>
      <w:r>
        <w:br/>
      </w:r>
      <w:r>
        <w:rPr>
          <w:rFonts w:ascii="Times New Roman"/>
          <w:b w:val="false"/>
          <w:i w:val="false"/>
          <w:color w:val="000000"/>
          <w:sz w:val="28"/>
        </w:rPr>
        <w:t>
      поддержку начинающих предпринимателей (старт-ап проекты);</w:t>
      </w:r>
      <w:r>
        <w:br/>
      </w:r>
      <w:r>
        <w:rPr>
          <w:rFonts w:ascii="Times New Roman"/>
          <w:b w:val="false"/>
          <w:i w:val="false"/>
          <w:color w:val="000000"/>
          <w:sz w:val="28"/>
        </w:rPr>
        <w:t>
      сервисную поддержку ведения действующего бизнеса;</w:t>
      </w:r>
      <w:r>
        <w:br/>
      </w:r>
      <w:r>
        <w:rPr>
          <w:rFonts w:ascii="Times New Roman"/>
          <w:b w:val="false"/>
          <w:i w:val="false"/>
          <w:color w:val="000000"/>
          <w:sz w:val="28"/>
        </w:rPr>
        <w:t>
      обучение топ-менеджмента малого и среднего бизнеса;</w:t>
      </w:r>
      <w:r>
        <w:br/>
      </w:r>
      <w:r>
        <w:rPr>
          <w:rFonts w:ascii="Times New Roman"/>
          <w:b w:val="false"/>
          <w:i w:val="false"/>
          <w:color w:val="000000"/>
          <w:sz w:val="28"/>
        </w:rPr>
        <w:t>
      модернизацию и расширение производств путем установления деловых связей с иностранными партнерами (далее - проект "Деловые связи");</w:t>
      </w:r>
      <w:r>
        <w:br/>
      </w:r>
      <w:r>
        <w:rPr>
          <w:rFonts w:ascii="Times New Roman"/>
          <w:b w:val="false"/>
          <w:i w:val="false"/>
          <w:color w:val="000000"/>
          <w:sz w:val="28"/>
        </w:rPr>
        <w:t>
      подготовку и переподготовку кадров по востребованным на рынке труда специальностям.</w:t>
      </w:r>
      <w:r>
        <w:br/>
      </w:r>
      <w:r>
        <w:rPr>
          <w:rFonts w:ascii="Times New Roman"/>
          <w:b w:val="false"/>
          <w:i w:val="false"/>
          <w:color w:val="000000"/>
          <w:sz w:val="28"/>
        </w:rPr>
        <w:t>
      4. Финансовые средства, связанные с данной новой Программой, будут направляться на поддержку МСБ в рамках Программы "Дорожная карта бизнеса 2020", включая субсидирование процентов по кредитам, частичное гарантирование кредитов, подведение недостающей инфраструктуры, сервисную поддержку предпринимателей, а также на усиление предпринимательского потенциала. Координатором Программы будет местный исполнительный орган, который будет проводить отбор и мониторинг проектов в рамках Программы, финансирование будет производиться из республиканского бюджета. Иллюстрация 1 отображает основные принципы Программы.</w:t>
      </w:r>
    </w:p>
    <w:p>
      <w:pPr>
        <w:spacing w:after="0"/>
        <w:ind w:left="0"/>
        <w:jc w:val="left"/>
      </w:pPr>
      <w:r>
        <w:rPr>
          <w:rFonts w:ascii="Times New Roman"/>
          <w:b/>
          <w:i w:val="false"/>
          <w:color w:val="000000"/>
        </w:rPr>
        <w:t xml:space="preserve"> Иллюстрация 1. Основные принципы Программы регионального развития</w:t>
      </w:r>
    </w:p>
    <w:p>
      <w:pPr>
        <w:spacing w:after="0"/>
        <w:ind w:left="0"/>
        <w:jc w:val="both"/>
      </w:pPr>
      <w:r>
        <w:drawing>
          <wp:inline distT="0" distB="0" distL="0" distR="0">
            <wp:extent cx="83312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31200" cy="60960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«Дорожная карта бизнеса 2020» – Национальный аналитический центр Казахстана</w:t>
      </w:r>
    </w:p>
    <w:p>
      <w:pPr>
        <w:spacing w:after="0"/>
        <w:ind w:left="0"/>
        <w:jc w:val="both"/>
      </w:pPr>
      <w:r>
        <w:rPr>
          <w:rFonts w:ascii="Times New Roman"/>
          <w:b w:val="false"/>
          <w:i w:val="false"/>
          <w:color w:val="000000"/>
          <w:sz w:val="28"/>
        </w:rPr>
        <w:t>      1.2 Необходимость в интегрированном и основанном на</w:t>
      </w:r>
      <w:r>
        <w:br/>
      </w:r>
      <w:r>
        <w:rPr>
          <w:rFonts w:ascii="Times New Roman"/>
          <w:b w:val="false"/>
          <w:i w:val="false"/>
          <w:color w:val="000000"/>
          <w:sz w:val="28"/>
        </w:rPr>
        <w:t>
          запросе подходе для дополнения целей регионального развития</w:t>
      </w:r>
      <w:r>
        <w:br/>
      </w:r>
      <w:r>
        <w:rPr>
          <w:rFonts w:ascii="Times New Roman"/>
          <w:b w:val="false"/>
          <w:i w:val="false"/>
          <w:color w:val="000000"/>
          <w:sz w:val="28"/>
        </w:rPr>
        <w:t>
      1.2.1 Настоятельная необходимость диверсификации ПИИ</w:t>
      </w:r>
      <w:r>
        <w:br/>
      </w:r>
      <w:r>
        <w:rPr>
          <w:rFonts w:ascii="Times New Roman"/>
          <w:b w:val="false"/>
          <w:i w:val="false"/>
          <w:color w:val="000000"/>
          <w:sz w:val="28"/>
        </w:rPr>
        <w:t xml:space="preserve">
      5. В период с 2000 по 2008 г.г., экономика Республики Казахстан (реальный валовой внутренний продукт) росла со среднегодовыми темпами более 9 %, что является одним из самых высоких мировых показателей. </w:t>
      </w:r>
      <w:r>
        <w:br/>
      </w:r>
      <w:r>
        <w:rPr>
          <w:rFonts w:ascii="Times New Roman"/>
          <w:b w:val="false"/>
          <w:i w:val="false"/>
          <w:color w:val="000000"/>
          <w:sz w:val="28"/>
        </w:rPr>
        <w:t>
К концу 2007 года валовой национальный доход на душу населения превысил 5 000 долларов США, что в 3,7 раз выше показателя 2001 года</w:t>
      </w:r>
      <w:r>
        <w:rPr>
          <w:rFonts w:ascii="Times New Roman"/>
          <w:b w:val="false"/>
          <w:i w:val="false"/>
          <w:color w:val="000000"/>
          <w:vertAlign w:val="superscript"/>
        </w:rPr>
        <w:t>1</w:t>
      </w:r>
      <w:r>
        <w:rPr>
          <w:rFonts w:ascii="Times New Roman"/>
          <w:b w:val="false"/>
          <w:i w:val="false"/>
          <w:color w:val="000000"/>
          <w:sz w:val="28"/>
        </w:rPr>
        <w:t>, однако ожидается, что в 2009 году темп роста будет намного ниже (0,3 %</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6. Экономические показатели страны связаны с высоким уровнем добычи и экспорта нефти и газа, например, в 2008 году добыча нефти была на уровне 1,45 миллиона баррелей сырой нефти в день</w:t>
      </w:r>
      <w:r>
        <w:rPr>
          <w:rFonts w:ascii="Times New Roman"/>
          <w:b w:val="false"/>
          <w:i w:val="false"/>
          <w:color w:val="000000"/>
          <w:vertAlign w:val="superscript"/>
        </w:rPr>
        <w:t>3</w:t>
      </w:r>
      <w:r>
        <w:rPr>
          <w:rFonts w:ascii="Times New Roman"/>
          <w:b w:val="false"/>
          <w:i w:val="false"/>
          <w:color w:val="000000"/>
          <w:sz w:val="28"/>
        </w:rPr>
        <w:t>, с перспективой утроения добычи в следующие 10 лет, - 85 % было экспортировано. Стабильно высокие темпы роста связаны со значительным притоком ПИИ. В период с 1989 по 2008 г.г. кумулятивный приток ПИИ достиг 48,4 миллиардов долларов США; в 2008 году приток ПИИ достиг рекордного уровня в 10,7 миллиардов долларов США</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7. Прямые иностранные инвестиции стабильно росли с начала 1990-х. В 2009 году, доля стран ОЭСР в общем притоке ПИИ в Казахстан составила 70 %, при значительных инвестициях со стороны США, Великобритании, Италии, Франции и Нидерландов – стран, где традиционно находятся штаб-квартиры крупнейших нефтяных компаний. Более 70 % ПИИ поступает в нефтяную и газовую отрасли, включая широкий спектр видов деятельности, связанных со снабжением нефтяной и газовой отраслей, таких как транспорт, услуги, оборудование для инфраструктуры и инженерно-технические работы.</w:t>
      </w:r>
      <w:r>
        <w:br/>
      </w:r>
      <w:r>
        <w:rPr>
          <w:rFonts w:ascii="Times New Roman"/>
          <w:b w:val="false"/>
          <w:i w:val="false"/>
          <w:color w:val="000000"/>
          <w:sz w:val="28"/>
        </w:rPr>
        <w:t>
      8. В решении проблемы отраслевой диверсификации задействованы несколько инициатив, включая совместный проект ОЭСР – ЕС – Казахстана, однако, для дальнейшей диверсификации ПИИ на региональном уровне, необходимо больше связей с региональным развитием.</w:t>
      </w:r>
      <w:r>
        <w:br/>
      </w:r>
      <w:r>
        <w:rPr>
          <w:rFonts w:ascii="Times New Roman"/>
          <w:b w:val="false"/>
          <w:i w:val="false"/>
          <w:color w:val="000000"/>
          <w:sz w:val="28"/>
        </w:rPr>
        <w:t>
      1.2.2 Связь между диверсификацией ПИИ и региональным</w:t>
      </w:r>
      <w:r>
        <w:br/>
      </w:r>
      <w:r>
        <w:rPr>
          <w:rFonts w:ascii="Times New Roman"/>
          <w:b w:val="false"/>
          <w:i w:val="false"/>
          <w:color w:val="000000"/>
          <w:sz w:val="28"/>
        </w:rPr>
        <w:t>
            экономическим развитием</w:t>
      </w:r>
      <w:r>
        <w:br/>
      </w:r>
      <w:r>
        <w:rPr>
          <w:rFonts w:ascii="Times New Roman"/>
          <w:b w:val="false"/>
          <w:i w:val="false"/>
          <w:color w:val="000000"/>
          <w:sz w:val="28"/>
        </w:rPr>
        <w:t>
      9. Казахстан разделен на 14 регионов. Два города, Астана и Алматы, имеют особый административный статус.</w:t>
      </w:r>
      <w:r>
        <w:br/>
      </w:r>
      <w:r>
        <w:rPr>
          <w:rFonts w:ascii="Times New Roman"/>
          <w:b w:val="false"/>
          <w:i w:val="false"/>
          <w:color w:val="000000"/>
          <w:sz w:val="28"/>
        </w:rPr>
        <w:t>
      10. В 2009 году четыре региона Республики Казахстан произвели около половины валового регионального продукта страны, в основном, благодаря добыче нефти и газа (см. Иллюстрацию 2), однако, диверсификация инвестиций по секторам экономики ограничена тремя регионами, производящими половину промышленного валового регионального продукта страны.</w:t>
      </w:r>
      <w:r>
        <w:br/>
      </w:r>
      <w:r>
        <w:rPr>
          <w:rFonts w:ascii="Times New Roman"/>
          <w:b w:val="false"/>
          <w:i w:val="false"/>
          <w:color w:val="000000"/>
          <w:sz w:val="28"/>
        </w:rPr>
        <w:t>
_______________________</w:t>
      </w:r>
    </w:p>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Мировой Банк (используя метод Atlas)</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Оценка EBRD в отчете «Transition Report» за 2008 год</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Справочник Центрального разведывательного управления США по странам мира, 2009</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Оценка EBRD в отчете «Transition Report» за 2008 год</w:t>
      </w:r>
    </w:p>
    <w:p>
      <w:pPr>
        <w:spacing w:after="0"/>
        <w:ind w:left="0"/>
        <w:jc w:val="both"/>
      </w:pPr>
      <w:r>
        <w:rPr>
          <w:rFonts w:ascii="Times New Roman"/>
          <w:b/>
          <w:i w:val="false"/>
          <w:color w:val="000000"/>
          <w:sz w:val="28"/>
        </w:rPr>
        <w:t>  Иллюстрация 2. Крупнейшие разрабатываемые в настоящее время</w:t>
      </w:r>
      <w:r>
        <w:br/>
      </w:r>
      <w:r>
        <w:rPr>
          <w:rFonts w:ascii="Times New Roman"/>
          <w:b w:val="false"/>
          <w:i w:val="false"/>
          <w:color w:val="000000"/>
          <w:sz w:val="28"/>
        </w:rPr>
        <w:t>
</w:t>
      </w:r>
      <w:r>
        <w:rPr>
          <w:rFonts w:ascii="Times New Roman"/>
          <w:b/>
          <w:i w:val="false"/>
          <w:color w:val="000000"/>
          <w:sz w:val="28"/>
        </w:rPr>
        <w:t>    месторождения нефти и газа расположены в трех регионах:</w:t>
      </w:r>
      <w:r>
        <w:br/>
      </w:r>
      <w:r>
        <w:rPr>
          <w:rFonts w:ascii="Times New Roman"/>
          <w:b w:val="false"/>
          <w:i w:val="false"/>
          <w:color w:val="000000"/>
          <w:sz w:val="28"/>
        </w:rPr>
        <w:t>
</w:t>
      </w:r>
      <w:r>
        <w:rPr>
          <w:rFonts w:ascii="Times New Roman"/>
          <w:b/>
          <w:i w:val="false"/>
          <w:color w:val="000000"/>
          <w:sz w:val="28"/>
        </w:rPr>
        <w:t>             Западный Казахстан, Атырау и Мангистау</w:t>
      </w:r>
    </w:p>
    <w:p>
      <w:pPr>
        <w:spacing w:after="0"/>
        <w:ind w:left="0"/>
        <w:jc w:val="both"/>
      </w:pPr>
      <w:r>
        <w:drawing>
          <wp:inline distT="0" distB="0" distL="0" distR="0">
            <wp:extent cx="83820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0" cy="4711700"/>
                    </a:xfrm>
                    <a:prstGeom prst="rect">
                      <a:avLst/>
                    </a:prstGeom>
                  </pic:spPr>
                </pic:pic>
              </a:graphicData>
            </a:graphic>
          </wp:inline>
        </w:drawing>
      </w:r>
    </w:p>
    <w:p>
      <w:pPr>
        <w:spacing w:after="0"/>
        <w:ind w:left="0"/>
        <w:jc w:val="both"/>
      </w:pPr>
      <w:r>
        <w:rPr>
          <w:rFonts w:ascii="Times New Roman"/>
          <w:b w:val="false"/>
          <w:i w:val="false"/>
          <w:color w:val="000000"/>
          <w:sz w:val="28"/>
        </w:rPr>
        <w:t>      11. Расположение залежей нефти и газа значительно влияет на распределение валового внутреннего продукта (далее – ВВП) по регионам. Например, валовой региональный продукт на душу населения в Атырау, регионе с самыми высокими показателями, более чем в десять раз выше, чем ВВП на душу населения в Южном Казахстане, регионе с самыми низкими показателями. В пяти регионах ВВП на душу населения превышает средний показатель по Казахстану: Атырау, Мангистау и Западный Казахстан, где расположены залежи нефти и газа, и Астана и Алматы, политическая и экономическая столицы страны.</w:t>
      </w:r>
      <w:r>
        <w:br/>
      </w:r>
      <w:r>
        <w:rPr>
          <w:rFonts w:ascii="Times New Roman"/>
          <w:b w:val="false"/>
          <w:i w:val="false"/>
          <w:color w:val="000000"/>
          <w:sz w:val="28"/>
        </w:rPr>
        <w:t>
      12. Та же диспропорция распространяется и на ПИИ, которые, в основном, сконцентрированы в нескольких регионах, например, на три вышеназванных региона приходится 70 % иностранных инвестиций в фиксированные активы (см. Иллюстрацию 3).</w:t>
      </w:r>
      <w:r>
        <w:br/>
      </w:r>
      <w:r>
        <w:rPr>
          <w:rFonts w:ascii="Times New Roman"/>
          <w:b w:val="false"/>
          <w:i w:val="false"/>
          <w:color w:val="000000"/>
          <w:sz w:val="28"/>
        </w:rPr>
        <w:t>
      13. Кроме того, подчеркиваем сильную корреляцию между иностранными инвестициями в фиксированные активы и производительностью труда, ключевым критерием, отражающим уровень местной конкурентоспособности (R2 превышает 0,7). Эта корреляция может быть проинтерпретирована исходя из различных региональных характеристик:</w:t>
      </w:r>
      <w:r>
        <w:br/>
      </w:r>
      <w:r>
        <w:rPr>
          <w:rFonts w:ascii="Times New Roman"/>
          <w:b w:val="false"/>
          <w:i w:val="false"/>
          <w:color w:val="000000"/>
          <w:sz w:val="28"/>
        </w:rPr>
        <w:t>
      - Во-первых, регионы с развитой промышленностью, экономика которых основана на энергетике, со сравнительно высоким уровнем ПИИ, производительности труда и валового регионального продукта (ВРП).</w:t>
      </w:r>
      <w:r>
        <w:br/>
      </w:r>
      <w:r>
        <w:rPr>
          <w:rFonts w:ascii="Times New Roman"/>
          <w:b w:val="false"/>
          <w:i w:val="false"/>
          <w:color w:val="000000"/>
          <w:sz w:val="28"/>
        </w:rPr>
        <w:t>
      - Во-вторых, экономические центры (Астана и Алматы) с высокой производительностью труда и ВРП, но сравнительно низким уровнем иностранных инвестиций.</w:t>
      </w:r>
      <w:r>
        <w:br/>
      </w:r>
      <w:r>
        <w:rPr>
          <w:rFonts w:ascii="Times New Roman"/>
          <w:b w:val="false"/>
          <w:i w:val="false"/>
          <w:color w:val="000000"/>
          <w:sz w:val="28"/>
        </w:rPr>
        <w:t>
      - В-третьих, регионы с развитой промышленностью, экономика которых не основана на энергетике (промышленный ВРП выше национального уровня в 33 %) со средней производительностью на уровне средней национальной.</w:t>
      </w:r>
      <w:r>
        <w:br/>
      </w:r>
      <w:r>
        <w:rPr>
          <w:rFonts w:ascii="Times New Roman"/>
          <w:b w:val="false"/>
          <w:i w:val="false"/>
          <w:color w:val="000000"/>
          <w:sz w:val="28"/>
        </w:rPr>
        <w:t>
      - Наконец, регионы с более низким уровнем иностранных инвестиций и производительности, чем средний национальный уровень.</w:t>
      </w:r>
      <w:r>
        <w:br/>
      </w:r>
      <w:r>
        <w:rPr>
          <w:rFonts w:ascii="Times New Roman"/>
          <w:b w:val="false"/>
          <w:i w:val="false"/>
          <w:color w:val="000000"/>
          <w:sz w:val="28"/>
        </w:rPr>
        <w:t>
      14. Таким образом, Иллюстрация 3 отражает потенциальную взаимосвязь между иностранными инвестициями и региональной конкурентоспособностью в Казахстане. Эта взаимосвязь должна быть далее использована для развития региональных экономик и МСБ. Опыт стран ОЭСР подтверждает наличие такой взаимосвязи.</w:t>
      </w:r>
    </w:p>
    <w:p>
      <w:pPr>
        <w:spacing w:after="0"/>
        <w:ind w:left="0"/>
        <w:jc w:val="left"/>
      </w:pPr>
      <w:r>
        <w:rPr>
          <w:rFonts w:ascii="Times New Roman"/>
          <w:b/>
          <w:i w:val="false"/>
          <w:color w:val="000000"/>
        </w:rPr>
        <w:t xml:space="preserve"> Иллюстрация 3. Региональные диспропорции ПИИ и</w:t>
      </w:r>
      <w:r>
        <w:br/>
      </w:r>
      <w:r>
        <w:rPr>
          <w:rFonts w:ascii="Times New Roman"/>
          <w:b/>
          <w:i w:val="false"/>
          <w:color w:val="000000"/>
        </w:rPr>
        <w:t>
производительности – представление регионов Казахстана по</w:t>
      </w:r>
      <w:r>
        <w:br/>
      </w:r>
      <w:r>
        <w:rPr>
          <w:rFonts w:ascii="Times New Roman"/>
          <w:b/>
          <w:i w:val="false"/>
          <w:color w:val="000000"/>
        </w:rPr>
        <w:t>
показателям производительности труда, иностранных инвестиций в</w:t>
      </w:r>
      <w:r>
        <w:br/>
      </w:r>
      <w:r>
        <w:rPr>
          <w:rFonts w:ascii="Times New Roman"/>
          <w:b/>
          <w:i w:val="false"/>
          <w:color w:val="000000"/>
        </w:rPr>
        <w:t>
фиксированный капитал и доли в ВВП</w:t>
      </w:r>
    </w:p>
    <w:p>
      <w:pPr>
        <w:spacing w:after="0"/>
        <w:ind w:left="0"/>
        <w:jc w:val="both"/>
      </w:pPr>
      <w:r>
        <w:drawing>
          <wp:inline distT="0" distB="0" distL="0" distR="0">
            <wp:extent cx="61087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08700" cy="46863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Методологическое примечание:</w:t>
      </w:r>
      <w:r>
        <w:rPr>
          <w:rFonts w:ascii="Times New Roman"/>
          <w:b w:val="false"/>
          <w:i w:val="false"/>
          <w:color w:val="000000"/>
          <w:sz w:val="28"/>
        </w:rPr>
        <w:t xml:space="preserve"> Производительность определяется как производительность труда на основании прироста стоимости; уровень регионального присутствия иностранных инвесторов приближенно приравнен к инвестициям иностранных инвесторов в фиксированные активы; промышленно развитые регионы с экономикой, не основанной на нефти и газе, определены как регионы с валовым региональным продуктом выше, чем производственная доля ВВП Казахстана, 33 %.</w:t>
      </w:r>
    </w:p>
    <w:p>
      <w:pPr>
        <w:spacing w:after="0"/>
        <w:ind w:left="0"/>
        <w:jc w:val="left"/>
      </w:pPr>
      <w:r>
        <w:rPr>
          <w:rFonts w:ascii="Times New Roman"/>
          <w:b/>
          <w:i w:val="false"/>
          <w:color w:val="000000"/>
        </w:rPr>
        <w:t xml:space="preserve"> Вставка 1. Пример Польши: решение проблемы</w:t>
      </w:r>
      <w:r>
        <w:br/>
      </w:r>
      <w:r>
        <w:rPr>
          <w:rFonts w:ascii="Times New Roman"/>
          <w:b/>
          <w:i w:val="false"/>
          <w:color w:val="000000"/>
        </w:rPr>
        <w:t>
региональных диспропорций посредством ПИИ</w:t>
      </w:r>
    </w:p>
    <w:p>
      <w:pPr>
        <w:spacing w:after="0"/>
        <w:ind w:left="0"/>
        <w:jc w:val="both"/>
      </w:pPr>
      <w:r>
        <w:rPr>
          <w:rFonts w:ascii="Times New Roman"/>
          <w:b w:val="false"/>
          <w:i w:val="false"/>
          <w:color w:val="000000"/>
          <w:sz w:val="28"/>
        </w:rPr>
        <w:t>      Польше удалось поддерживать высокие уровни роста с середины 1990-х, а в 2006-07 г.г. она находилась на втором месте по показателям эффективности среди экономик ОЭСР, однако, территориальные диспропорции существуют и увеличиваются, особенно между крупными городскими и сельскими территориями.</w:t>
      </w:r>
    </w:p>
    <w:p>
      <w:pPr>
        <w:spacing w:after="0"/>
        <w:ind w:left="0"/>
        <w:jc w:val="both"/>
      </w:pPr>
      <w:r>
        <w:drawing>
          <wp:inline distT="0" distB="0" distL="0" distR="0">
            <wp:extent cx="46990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0" cy="26924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Варшава является лидирующим городом по привлечению ПИИ в Польше.</w:t>
      </w:r>
      <w:r>
        <w:rPr>
          <w:rFonts w:ascii="Times New Roman"/>
          <w:b w:val="false"/>
          <w:i w:val="false"/>
          <w:color w:val="000000"/>
          <w:sz w:val="28"/>
        </w:rPr>
        <w:t xml:space="preserve"> Среди крупнейших городов Польши Варшава демонстрировала самые высокие темпы роста в период с 1995 по 2004 г.г. (151,4 % среднего национального показателя) и самый высокий ВВП на душу населения (на 263 % среднего в 2005 году), что вело к увеличению разрыва с остальной частью страны. Средние темпы роста ВВП на душу населения находились на уровне 7,3 % в 2000-04 г.г. В период с 1998 по 2003 г.г. у Варшавы был один из самых высоких показателей роста среди столичных регионов ОЭСР. Рост в Варшаве был в большой степени обусловлен ростом занятости в сфере обслуживания (главным образом, торговля, телекоммуникации, финансовые услуги, страхование и ИТ), с 49,2 % в 1995 году до 63,2 % в 2005. 43 из 100 крупнейших польских компаний находятся в Варшаве. Кроме того, Варшава стала одной из крупнейших инвестиционных площадок в Центральной Европе и привлекла самую высокую долю ПИИ в новые предприятия в Польше с 1995 года.</w:t>
      </w:r>
      <w:r>
        <w:br/>
      </w:r>
      <w:r>
        <w:rPr>
          <w:rFonts w:ascii="Times New Roman"/>
          <w:b w:val="false"/>
          <w:i w:val="false"/>
          <w:color w:val="000000"/>
          <w:sz w:val="28"/>
        </w:rPr>
        <w:t>
      </w:t>
      </w:r>
      <w:r>
        <w:rPr>
          <w:rFonts w:ascii="Times New Roman"/>
          <w:b/>
          <w:i w:val="false"/>
          <w:color w:val="000000"/>
          <w:sz w:val="28"/>
        </w:rPr>
        <w:t>Другие крупные города Польши также добились успехов в привлечении ПИИ, что привело к резкому росту регионального ВВП на душу населения</w:t>
      </w:r>
      <w:r>
        <w:rPr>
          <w:rFonts w:ascii="Times New Roman"/>
          <w:b w:val="false"/>
          <w:i w:val="false"/>
          <w:color w:val="000000"/>
          <w:sz w:val="28"/>
        </w:rPr>
        <w:t>. Хотя Варшава все еще намного опережает другие города по показателю ВВП на душу населения, разрыв между Варшавой и другими большими польскими городами, в частности, Познанью, Вроцлавом и Краковом, по-видимому, ликвидируется. Возможно, это обусловлено растущей долей ПИИ (в новые предприятия), поступающих в другие города, помимо Варшавы. В 1996 году, Варшава привлекла 40 % инвестиций в новые предприятия, а в 2001 году ее доля упала до 17 %. Варшава все еще является лидером по накопленным инвестициям, ее доля составляет более половины общего объема, однако по оценке польского Института исследований рыночной экономики, Вроцлав, Катовице, и Познань в 2005-2006 г.г. стали наиболее привлекательными городами для притока ПИИ, благодаря как отрасли высоких технологий, так и отрасли услуг. Регион Силезия, который включает Катовице и Рыбник- Ястржебье, является наиболее привлекательным регионом для ПИИ, связанных с промышленным производством, а Еленя-Гура-Валбжих (Нижняя Силезия) занимают третье место. В Лодзи также был отмечен значительный рост ПИИ.</w:t>
      </w:r>
      <w:r>
        <w:br/>
      </w:r>
      <w:r>
        <w:rPr>
          <w:rFonts w:ascii="Times New Roman"/>
          <w:b w:val="false"/>
          <w:i w:val="false"/>
          <w:color w:val="000000"/>
          <w:sz w:val="28"/>
        </w:rPr>
        <w:t>
      </w:t>
      </w:r>
      <w:r>
        <w:rPr>
          <w:rFonts w:ascii="Times New Roman"/>
          <w:b/>
          <w:i w:val="false"/>
          <w:color w:val="000000"/>
          <w:sz w:val="28"/>
        </w:rPr>
        <w:t>Город Вроцлав представляет собой впечатляющий пример</w:t>
      </w:r>
      <w:r>
        <w:rPr>
          <w:rFonts w:ascii="Times New Roman"/>
          <w:b w:val="false"/>
          <w:i w:val="false"/>
          <w:color w:val="000000"/>
          <w:sz w:val="28"/>
        </w:rPr>
        <w:t>. Вроцлав - один из наиболее динамично развивающихся городов Польши. Его история связана разными культурами, его характерной особенностью является традиция открытости. Его население составляет 630 000 жителей, а с учетом агломерации - более 1,1 миллиона. Это столица Нижней Силезии, быстро растущего региона на юго-западе Польши. В 2005 году ВВП на душу населения в Нижней Силезии составил 53 % от среднего по 25 странам ЕС, немного выше среднего показателя по Польше (103,3 %) - четвертое место из 16 польских регионов. Основой экономической активности в регионе является промышленность (32,8 % занятых) и, во все большей мере, услуги (57 % занятых). Сельскохозяйственный сектор развит относительно слабо, в сравнении с другими польскими регионами (10,2 % занятых). На территории Нижней Силезии, обладающей наиболее плотной транспортной инфраструктурой в стране, а также хорошим трансграничным сотрудничеством со своими немецкими и чешскими соседями, Вроцлав является важным транспортным узлом, находящимся на пересечении трех международных направлений, с двумя крупнейшими железнодорожными станциями, двумя речными портами и международным аэропортом. Он находится практически на равном расстоянии от Берлина, Праги и Варшавы. Благодаря как своему благоприятному географическому положению на пересечении торговых путей, так и недавней волне иностранных инвестиций (особенно в сектор ИТ), Вроцлав стал лидером экономического развития. Его расположение на трассе A4, связывающей Вроцлав с Германией и двумя другими крупнейшими городскими агломератами Польши (Катовице и Краковом) сыграло в этом важнейшую роль.</w:t>
      </w:r>
      <w:r>
        <w:br/>
      </w:r>
      <w:r>
        <w:rPr>
          <w:rFonts w:ascii="Times New Roman"/>
          <w:b w:val="false"/>
          <w:i w:val="false"/>
          <w:color w:val="000000"/>
          <w:sz w:val="28"/>
        </w:rPr>
        <w:t>
      Вроцлав привлек ряд лидирующих транснациональных компаний (Volvo, LG, Toyota, Wabco, Whirpool, Electrolux, и т.д.), и некоторые из них решили основать здесь свои исследовательские и сервисные центры (Siemens, Capgemini, Hewlett-Packard, Macopharma). Около 27 % из 92 954 зарегистрированных во Вроцлаве фирм (данные 2006 года) являются компаниями с иностранным капиталом. Кроме того, агломерация Вроцлава занимает второе после Варшавы место по объему инвестиций. Это также второй крупнейший центр финансовых услуг в Польше, многие лидирующие национальные ИТ фирмы находятся здесь, что еще более повышает его привлекательность для инвесторов. С тех пор как Польша присоединилась к ЕС в 2004 году, Вроцлав привлек около 5 миллиардов евро инвестиций, а уровень безработицы снизился с почти 14 % до 5,1 % в октябре 2007 года. За последние годы было создано более 120 000 рабочих мест.</w:t>
      </w:r>
    </w:p>
    <w:p>
      <w:pPr>
        <w:spacing w:after="0"/>
        <w:ind w:left="0"/>
        <w:jc w:val="both"/>
      </w:pPr>
      <w:r>
        <w:rPr>
          <w:rFonts w:ascii="Times New Roman"/>
          <w:b w:val="false"/>
          <w:i w:val="false"/>
          <w:color w:val="000000"/>
          <w:sz w:val="28"/>
        </w:rPr>
        <w:t>      1.2.3 Предметные исследования ОЭСР, подчеркивающие важность ПИИ и политики стимулирования инвестиций для поддержки регионального развития</w:t>
      </w:r>
      <w:r>
        <w:br/>
      </w:r>
      <w:r>
        <w:rPr>
          <w:rFonts w:ascii="Times New Roman"/>
          <w:b w:val="false"/>
          <w:i w:val="false"/>
          <w:color w:val="000000"/>
          <w:sz w:val="28"/>
        </w:rPr>
        <w:t>
      1.2.3.1 Другие уроки ОЭСР в политике региональной конкурентоспособности: необходимость сконцентрироваться в первую очередь на региональной конкурентоспособности</w:t>
      </w:r>
      <w:r>
        <w:rPr>
          <w:rFonts w:ascii="Times New Roman"/>
          <w:b w:val="false"/>
          <w:i w:val="false"/>
          <w:color w:val="000000"/>
          <w:vertAlign w:val="superscript"/>
        </w:rPr>
        <w:t>5</w:t>
      </w:r>
      <w:r>
        <w:br/>
      </w:r>
      <w:r>
        <w:rPr>
          <w:rFonts w:ascii="Times New Roman"/>
          <w:b w:val="false"/>
          <w:i w:val="false"/>
          <w:color w:val="000000"/>
          <w:sz w:val="28"/>
        </w:rPr>
        <w:t>
      </w:t>
      </w:r>
      <w:r>
        <w:rPr>
          <w:rFonts w:ascii="Times New Roman"/>
          <w:b/>
          <w:i w:val="false"/>
          <w:color w:val="000000"/>
          <w:sz w:val="28"/>
        </w:rPr>
        <w:t>1. Вызов для политиков территориального уровня состоит в выработке политики, эффективной и адекватной для различных региональных контекстов</w:t>
      </w:r>
      <w:r>
        <w:rPr>
          <w:rFonts w:ascii="Times New Roman"/>
          <w:b w:val="false"/>
          <w:i w:val="false"/>
          <w:color w:val="000000"/>
          <w:sz w:val="28"/>
        </w:rPr>
        <w:t>. В последние годы основным фокусом территориальной политики в странах ОЭСР был устойчивый рост, достигаемый не только через принятие мер в связи с относительным спадом, но и через повышение конкурентоспособности регионов. Это предусматривало отказ от перераспределения и субсидий для отстающих регионов в пользу мер по повышению производительности и поощрению инвестиций частного сектора, с упором на национальные активы.</w:t>
      </w:r>
      <w:r>
        <w:br/>
      </w:r>
      <w:r>
        <w:rPr>
          <w:rFonts w:ascii="Times New Roman"/>
          <w:b w:val="false"/>
          <w:i w:val="false"/>
          <w:color w:val="000000"/>
          <w:sz w:val="28"/>
        </w:rPr>
        <w:t>
      </w:t>
      </w:r>
      <w:r>
        <w:rPr>
          <w:rFonts w:ascii="Times New Roman"/>
          <w:b/>
          <w:i w:val="false"/>
          <w:color w:val="000000"/>
          <w:sz w:val="28"/>
        </w:rPr>
        <w:t>2. Политика для фирм все больше фокусируется на мерах, стимулирующих инновации, но используемые средства достижения этих целей, по-видимому, отдают предпочтение более развитым регионам</w:t>
      </w:r>
      <w:r>
        <w:rPr>
          <w:rFonts w:ascii="Times New Roman"/>
          <w:b w:val="false"/>
          <w:i w:val="false"/>
          <w:color w:val="000000"/>
          <w:sz w:val="28"/>
        </w:rPr>
        <w:t>. Национальные и региональные правительства в странах ОЭСР переориентируют свою политику, чтобы подчеркнуть роль публичной политики в содействии систематическому обмену и взаимодействию между ключевыми экономическими игроками. В основе такой ориентации лежит признание того факта, что система, с помощью которой создаются знания и происходит обмен этими знаниями, является важным определяющим фактором производительности в региональном контексте. Есть три основные категории политических мер: a) проекты, базирующиеся на фиксированных активах, такие как научные парки или технополисы; b) политические меры кластерного типа, связывающие исследовательскую сферу и промышленность для продвижения "систем" технологии; c) инновации и лучшее коммерческое использование инноваций.</w:t>
      </w:r>
      <w:r>
        <w:br/>
      </w:r>
      <w:r>
        <w:rPr>
          <w:rFonts w:ascii="Times New Roman"/>
          <w:b w:val="false"/>
          <w:i w:val="false"/>
          <w:color w:val="000000"/>
          <w:sz w:val="28"/>
        </w:rPr>
        <w:t>
      </w:t>
      </w:r>
      <w:r>
        <w:rPr>
          <w:rFonts w:ascii="Times New Roman"/>
          <w:b/>
          <w:i w:val="false"/>
          <w:color w:val="000000"/>
          <w:sz w:val="28"/>
        </w:rPr>
        <w:t>3. Для других регионов, средства реализации политических мер должны быть адаптированы</w:t>
      </w:r>
      <w:r>
        <w:rPr>
          <w:rFonts w:ascii="Times New Roman"/>
          <w:b w:val="false"/>
          <w:i w:val="false"/>
          <w:color w:val="000000"/>
          <w:sz w:val="28"/>
        </w:rPr>
        <w:t>. Чтобы эти политические меры повлияли на ситуацию в регионах другого типа, они должны быть существенно адаптированы для менее восприимчивой среды, чем та, которая существует в "передовых" высокотехнологичных, с высокой оплатой труда регионах. Например, кластерные политические меры, по-видимому, зависят от наличия факторов, которые никоим образом не являются универсальными в регионах среднего уровня и в сельских регионах, т.е. отраслевой специализации, культуры сообществ, и т.д.</w:t>
      </w:r>
      <w:r>
        <w:br/>
      </w:r>
      <w:r>
        <w:rPr>
          <w:rFonts w:ascii="Times New Roman"/>
          <w:b w:val="false"/>
          <w:i w:val="false"/>
          <w:color w:val="000000"/>
          <w:sz w:val="28"/>
        </w:rPr>
        <w:t>
      </w:t>
      </w:r>
      <w:r>
        <w:rPr>
          <w:rFonts w:ascii="Times New Roman"/>
          <w:b/>
          <w:i w:val="false"/>
          <w:color w:val="000000"/>
          <w:sz w:val="28"/>
        </w:rPr>
        <w:t>4. Новая региональная политика ОЭСР в настоящее время фокусируется на укреплении конкурентоспособности при использовании ПИИ</w:t>
      </w:r>
      <w:r>
        <w:rPr>
          <w:rFonts w:ascii="Times New Roman"/>
          <w:b w:val="false"/>
          <w:i w:val="false"/>
          <w:color w:val="000000"/>
          <w:sz w:val="28"/>
        </w:rPr>
        <w:t>. Региональная политика в настоящее время имеет тенденцию к упору на использовании факторов внешнего порядка, присущих данной местности, для создания так называемых "благоприятных условий", т.е. привлекательности региона в целом. Инвестиции в регион должны иметь целью активизацию этих существующих в регионе факторов, что, в свою очередь, должно вызвать эффект роста в результате более эффективной экономической деятельности. Проблема состоит в нахождении таких потенциальных источников факторов внешнего порядка в каждом регионе.</w:t>
      </w:r>
    </w:p>
    <w:p>
      <w:pPr>
        <w:spacing w:after="0"/>
        <w:ind w:left="0"/>
        <w:jc w:val="both"/>
      </w:pPr>
      <w:r>
        <w:rPr>
          <w:rFonts w:ascii="Times New Roman"/>
          <w:b w:val="false"/>
          <w:i/>
          <w:color w:val="000000"/>
          <w:sz w:val="28"/>
        </w:rPr>
        <w:t>      1.2.3.2 Уроки стран Европейского Союза</w:t>
      </w:r>
      <w:r>
        <w:rPr>
          <w:rFonts w:ascii="Times New Roman"/>
          <w:b w:val="false"/>
          <w:i w:val="false"/>
          <w:color w:val="000000"/>
          <w:vertAlign w:val="superscript"/>
        </w:rPr>
        <w:t>6</w:t>
      </w:r>
      <w:r>
        <w:rPr>
          <w:rFonts w:ascii="Times New Roman"/>
          <w:b w:val="false"/>
          <w:i/>
          <w:color w:val="000000"/>
          <w:sz w:val="28"/>
        </w:rPr>
        <w:t>: Политические меры в сфере ПИИ должны быть неотъемлемой частью региональной политики роста, направленной на создание новых рабочих мест и стимулирование экономического роста в регионах.</w:t>
      </w:r>
      <w:r>
        <w:br/>
      </w:r>
      <w:r>
        <w:rPr>
          <w:rFonts w:ascii="Times New Roman"/>
          <w:b w:val="false"/>
          <w:i w:val="false"/>
          <w:color w:val="000000"/>
          <w:sz w:val="28"/>
        </w:rPr>
        <w:t>
      </w:t>
      </w:r>
      <w:r>
        <w:rPr>
          <w:rFonts w:ascii="Times New Roman"/>
          <w:b/>
          <w:i w:val="false"/>
          <w:color w:val="000000"/>
          <w:sz w:val="28"/>
        </w:rPr>
        <w:t>1. Побочные результаты ПИИ в отношении производительности в принимающем регионе являются позитивными и значимыми в странах ЕС</w:t>
      </w:r>
      <w:r>
        <w:rPr>
          <w:rFonts w:ascii="Times New Roman"/>
          <w:b w:val="false"/>
          <w:i w:val="false"/>
          <w:color w:val="000000"/>
          <w:sz w:val="28"/>
        </w:rPr>
        <w:t>. Местные фирмы повышают свою производительность в результате иностранных инвестиций в регион. Максимально возможным потенциалом можно считать выигрыш местных фирм в производительности до 40 %. Коэффициенты роста производительности в качестве побочного результата были проанализированы в четырех группах регионов для девяти отраслей промышленности (всего 36 вариантов анализа). Значительные положительные побочные результаты были обнаружены в 24 из 36 наиболее точных оценок, и только в двух случаях были значительные негативные побочные результаты. В десяти случаях побочные результаты были незначительны. Этот результат был проверен и доказал свою устойчивость в широком спектре различных моделей.</w:t>
      </w:r>
      <w:r>
        <w:br/>
      </w:r>
      <w:r>
        <w:rPr>
          <w:rFonts w:ascii="Times New Roman"/>
          <w:b w:val="false"/>
          <w:i w:val="false"/>
          <w:color w:val="000000"/>
          <w:sz w:val="28"/>
        </w:rPr>
        <w:t>
      </w:t>
      </w:r>
      <w:r>
        <w:rPr>
          <w:rFonts w:ascii="Times New Roman"/>
          <w:b/>
          <w:i w:val="false"/>
          <w:color w:val="000000"/>
          <w:sz w:val="28"/>
        </w:rPr>
        <w:t>2. ПИИ привлекаются благодаря факторам региональной политики. Большинство регионов могут повысить свою привлекательность для ПИИ</w:t>
      </w:r>
      <w:r>
        <w:rPr>
          <w:rFonts w:ascii="Times New Roman"/>
          <w:b w:val="false"/>
          <w:i w:val="false"/>
          <w:color w:val="000000"/>
          <w:sz w:val="28"/>
        </w:rPr>
        <w:t>. Анализ модели локализации ПИИ в европейских регионах продемонстрировал ряд значимых региональных факторов, которые привлекают ПИИ: хорошая инфраструктура и доступность, высокообразованная рабочая сила и высокий уровень расходов на научно-исследовательские работы. Хорошее проникновение информации и коммуникационных технологий и большое число конкурентов, клиентов и поставщиков в соответствующей отрасли также привлекают ПИИ. Однако, другие факторы, на которые невозможно повлиять на региональном уровне, такие как особые условия фирмы, национальные макро-условия, объем рынка, географическое расположение и язык, также или более важны.</w:t>
      </w:r>
      <w:r>
        <w:br/>
      </w:r>
      <w:r>
        <w:rPr>
          <w:rFonts w:ascii="Times New Roman"/>
          <w:b w:val="false"/>
          <w:i w:val="false"/>
          <w:color w:val="000000"/>
          <w:sz w:val="28"/>
        </w:rPr>
        <w:t>
      </w:t>
      </w:r>
      <w:r>
        <w:rPr>
          <w:rFonts w:ascii="Times New Roman"/>
          <w:b/>
          <w:i w:val="false"/>
          <w:color w:val="000000"/>
          <w:sz w:val="28"/>
        </w:rPr>
        <w:t>3. Текущие модели ПИИ и уровни побочных результатов в виде повышения производительности в принимающих регионах интенсифицируют рост и конвергенцию</w:t>
      </w:r>
      <w:r>
        <w:rPr>
          <w:rFonts w:ascii="Times New Roman"/>
          <w:b w:val="false"/>
          <w:i w:val="false"/>
          <w:color w:val="000000"/>
          <w:sz w:val="28"/>
        </w:rPr>
        <w:t>. Две большие группы регионов ЕС с региональным уровнем дохода на душу населения ниже среднего, а именно, объединенные регионы и регионы Восточной Европы, выиграли от ПИИ, благодаря побочным результатам повышения производительности, и это привело к большей конвергенции. Существуют исключения из этой общей модели, например, регионы ЕС 15 (EU15) не имеют достаточной способности к освоению средств, необходимой, чтобы воспользоваться преимуществами ПИИ.</w:t>
      </w:r>
      <w:r>
        <w:br/>
      </w:r>
      <w:r>
        <w:rPr>
          <w:rFonts w:ascii="Times New Roman"/>
          <w:b w:val="false"/>
          <w:i w:val="false"/>
          <w:color w:val="000000"/>
          <w:sz w:val="28"/>
        </w:rPr>
        <w:t>
      </w:t>
      </w:r>
      <w:r>
        <w:rPr>
          <w:rFonts w:ascii="Times New Roman"/>
          <w:b/>
          <w:i w:val="false"/>
          <w:color w:val="000000"/>
          <w:sz w:val="28"/>
        </w:rPr>
        <w:t>4. Именно тонкости того, как привлекаются ПИИ, являются решающими</w:t>
      </w:r>
      <w:r>
        <w:rPr>
          <w:rFonts w:ascii="Times New Roman"/>
          <w:b w:val="false"/>
          <w:i w:val="false"/>
          <w:color w:val="000000"/>
          <w:sz w:val="28"/>
        </w:rPr>
        <w:t>. Существует необходимость отказа от политических мер, основанных на традиционных региональных пакетах льгот. Тем, кто формирует политику, скорее следует переходить к политическим стратегиям, рекомендующим интеграцию современных, региональных и иностранных инвестиционных агентств в региональные стратегии роста, направленные на предоставление информации и помощи иностранным инвесторам в том, чтобы увидеть потенциал данного региона и помочь региону в преодолении нормативных барьеров. Действительно, множество более ранних исследований указывали на тот факт, что при прямых субсидиях в целях привлечения иностранных инвесторов (таких как налоговые каникулы) имеется тенденция к уходу прибылей и благосостояния из принимающих регионов в иностранные фирмы и регионы их базирования. Поэтому, государственные финансовые средства и льготы, направляемые на стимулирование регионального роста через прямые субсидии для иностранных фирм, могут быть на самом деле контрпродуктивными для регионального роста в отстающих принимающих регионах, и не благоприятствующими региональной конвергенции в Европе. Путем улучшения местных ресурсов человеческого капитала, модернизации инфраструктуры и других фундаментальных составляющих экономического роста, регион не только становится более привлекательным в качестве принимающего региона для иностранных фирм, но также повышается вероятность выгоды от присутствия иностранных фирм благодаря механизмам побочных результатов.</w:t>
      </w:r>
      <w:r>
        <w:br/>
      </w:r>
      <w:r>
        <w:rPr>
          <w:rFonts w:ascii="Times New Roman"/>
          <w:b w:val="false"/>
          <w:i w:val="false"/>
          <w:color w:val="000000"/>
          <w:sz w:val="28"/>
        </w:rPr>
        <w:t xml:space="preserve">
      5. В заключение, исследования демонстрируют </w:t>
      </w:r>
      <w:r>
        <w:rPr>
          <w:rFonts w:ascii="Times New Roman"/>
          <w:b/>
          <w:i w:val="false"/>
          <w:color w:val="000000"/>
          <w:sz w:val="28"/>
        </w:rPr>
        <w:t>серьезные эмпирические подтверждения важнейшей роли прямых иностранных инвестиций в региональном росте и развитии</w:t>
      </w:r>
      <w:r>
        <w:rPr>
          <w:rFonts w:ascii="Times New Roman"/>
          <w:b w:val="false"/>
          <w:i w:val="false"/>
          <w:color w:val="000000"/>
          <w:sz w:val="28"/>
        </w:rPr>
        <w:t xml:space="preserve"> отстающих регионов Европы, а также указывают на то, что тонкости политических мер, направленных на привлечение иностранных инвесторов, также имеют значение.</w:t>
      </w:r>
      <w:r>
        <w:br/>
      </w:r>
      <w:r>
        <w:rPr>
          <w:rFonts w:ascii="Times New Roman"/>
          <w:b w:val="false"/>
          <w:i w:val="false"/>
          <w:color w:val="000000"/>
          <w:sz w:val="28"/>
        </w:rPr>
        <w:t>
_______________________</w:t>
      </w:r>
    </w:p>
    <w:p>
      <w:pPr>
        <w:spacing w:after="0"/>
        <w:ind w:left="0"/>
        <w:jc w:val="both"/>
      </w:pPr>
      <w:r>
        <w:rPr>
          <w:rFonts w:ascii="Times New Roman"/>
          <w:b w:val="false"/>
          <w:i w:val="false"/>
          <w:color w:val="000000"/>
          <w:vertAlign w:val="superscript"/>
        </w:rPr>
        <w:t>5</w:t>
      </w:r>
      <w:r>
        <w:rPr>
          <w:rFonts w:ascii="Times New Roman"/>
          <w:b w:val="false"/>
          <w:i w:val="false"/>
          <w:color w:val="000000"/>
          <w:sz w:val="28"/>
        </w:rPr>
        <w:t xml:space="preserve"> Отчет ОЭСР о создании конкурентоспособных регионов, 2005</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Исследование по ПИИ и региональному развитию в ЕС, ЕС и Копенгагенский Университет.</w:t>
      </w:r>
    </w:p>
    <w:p>
      <w:pPr>
        <w:spacing w:after="0"/>
        <w:ind w:left="0"/>
        <w:jc w:val="left"/>
      </w:pPr>
      <w:r>
        <w:rPr>
          <w:rFonts w:ascii="Times New Roman"/>
          <w:b/>
          <w:i w:val="false"/>
          <w:color w:val="000000"/>
        </w:rPr>
        <w:t xml:space="preserve"> Иллюстрация 4. Экономические побочные результаты</w:t>
      </w:r>
      <w:r>
        <w:br/>
      </w:r>
      <w:r>
        <w:rPr>
          <w:rFonts w:ascii="Times New Roman"/>
          <w:b/>
          <w:i w:val="false"/>
          <w:color w:val="000000"/>
        </w:rPr>
        <w:t>
отраслевых ПИИ в Восточной Европе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3"/>
      </w:tblGrid>
      <w:tr>
        <w:trPr>
          <w:trHeight w:val="30" w:hRule="atLeast"/>
        </w:trPr>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737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73700" cy="3771900"/>
                          </a:xfrm>
                          <a:prstGeom prst="rect">
                            <a:avLst/>
                          </a:prstGeom>
                        </pic:spPr>
                      </pic:pic>
                    </a:graphicData>
                  </a:graphic>
                </wp:inline>
              </w:drawing>
            </w:r>
          </w:p>
          <w:p>
            <w:pPr>
              <w:spacing w:after="20"/>
              <w:ind w:left="20"/>
              <w:jc w:val="both"/>
            </w:pPr>
            <w:r>
              <w:rPr>
                <w:rFonts w:ascii="Times New Roman"/>
                <w:b w:val="false"/>
                <w:i w:val="false"/>
                <w:color w:val="000000"/>
                <w:sz w:val="20"/>
              </w:rPr>
              <w:t>Примечание: иллюстрация демонстрирует</w:t>
            </w:r>
            <w:r>
              <w:br/>
            </w:r>
            <w:r>
              <w:rPr>
                <w:rFonts w:ascii="Times New Roman"/>
                <w:b w:val="false"/>
                <w:i w:val="false"/>
                <w:color w:val="000000"/>
                <w:sz w:val="20"/>
              </w:rPr>
              <w:t>
предполагаемую величину побочных результатов</w:t>
            </w:r>
            <w:r>
              <w:br/>
            </w:r>
            <w:r>
              <w:rPr>
                <w:rFonts w:ascii="Times New Roman"/>
                <w:b w:val="false"/>
                <w:i w:val="false"/>
                <w:color w:val="000000"/>
                <w:sz w:val="20"/>
              </w:rPr>
              <w:t>
в каждом регионе. Более темным цветом</w:t>
            </w:r>
            <w:r>
              <w:br/>
            </w:r>
            <w:r>
              <w:rPr>
                <w:rFonts w:ascii="Times New Roman"/>
                <w:b w:val="false"/>
                <w:i w:val="false"/>
                <w:color w:val="000000"/>
                <w:sz w:val="20"/>
              </w:rPr>
              <w:t>
показывается высокий уровень воздействия</w:t>
            </w:r>
            <w:r>
              <w:br/>
            </w:r>
            <w:r>
              <w:rPr>
                <w:rFonts w:ascii="Times New Roman"/>
                <w:b w:val="false"/>
                <w:i w:val="false"/>
                <w:color w:val="000000"/>
                <w:sz w:val="20"/>
              </w:rPr>
              <w:t>
побочных результатов. Уровень воздействия</w:t>
            </w:r>
            <w:r>
              <w:br/>
            </w:r>
            <w:r>
              <w:rPr>
                <w:rFonts w:ascii="Times New Roman"/>
                <w:b w:val="false"/>
                <w:i w:val="false"/>
                <w:color w:val="000000"/>
                <w:sz w:val="20"/>
              </w:rPr>
              <w:t>
рассчитывался путем взвешивания результатов</w:t>
            </w:r>
            <w:r>
              <w:br/>
            </w:r>
            <w:r>
              <w:rPr>
                <w:rFonts w:ascii="Times New Roman"/>
                <w:b w:val="false"/>
                <w:i w:val="false"/>
                <w:color w:val="000000"/>
                <w:sz w:val="20"/>
              </w:rPr>
              <w:t>
коэффициента побочных результатов и ПИИ</w:t>
            </w:r>
            <w:r>
              <w:br/>
            </w:r>
            <w:r>
              <w:rPr>
                <w:rFonts w:ascii="Times New Roman"/>
                <w:b w:val="false"/>
                <w:i w:val="false"/>
                <w:color w:val="000000"/>
                <w:sz w:val="20"/>
              </w:rPr>
              <w:t>
сектора к агрегированному региональному</w:t>
            </w:r>
            <w:r>
              <w:br/>
            </w:r>
            <w:r>
              <w:rPr>
                <w:rFonts w:ascii="Times New Roman"/>
                <w:b w:val="false"/>
                <w:i w:val="false"/>
                <w:color w:val="000000"/>
                <w:sz w:val="20"/>
              </w:rPr>
              <w:t>
воздействию побочных результатов.</w:t>
            </w:r>
          </w:p>
        </w:tc>
      </w:tr>
    </w:tbl>
    <w:p>
      <w:pPr>
        <w:spacing w:after="0"/>
        <w:ind w:left="0"/>
        <w:jc w:val="both"/>
      </w:pPr>
      <w:r>
        <w:rPr>
          <w:rFonts w:ascii="Times New Roman"/>
          <w:b w:val="false"/>
          <w:i/>
          <w:color w:val="000000"/>
          <w:sz w:val="28"/>
        </w:rPr>
        <w:t>      1.2.3.3 Ирландский урок: важная роль Агентств по содействию инвестициям в региональном развитии</w:t>
      </w:r>
      <w:r>
        <w:br/>
      </w:r>
      <w:r>
        <w:rPr>
          <w:rFonts w:ascii="Times New Roman"/>
          <w:b w:val="false"/>
          <w:i w:val="false"/>
          <w:color w:val="000000"/>
          <w:sz w:val="28"/>
        </w:rPr>
        <w:t>
      1. Пример ирландских регионов демонстрирует, как Агентства по содействию инвестициям работают на национальном и региональном уровнях: потенциал, связанный с человеческим капиталом был важнейшим фактором привлечения ПИИ и последовавшего развития регионов.</w:t>
      </w:r>
      <w:r>
        <w:br/>
      </w:r>
      <w:r>
        <w:rPr>
          <w:rFonts w:ascii="Times New Roman"/>
          <w:b w:val="false"/>
          <w:i w:val="false"/>
          <w:color w:val="000000"/>
          <w:sz w:val="28"/>
        </w:rPr>
        <w:t>
      </w:t>
      </w:r>
      <w:r>
        <w:rPr>
          <w:rFonts w:ascii="Times New Roman"/>
          <w:b/>
          <w:i w:val="false"/>
          <w:color w:val="000000"/>
          <w:sz w:val="28"/>
        </w:rPr>
        <w:t>2. ПИИ способствовали повышению уровня жизни в южных и восточных регионах Ирландии</w:t>
      </w:r>
      <w:r>
        <w:rPr>
          <w:rFonts w:ascii="Times New Roman"/>
          <w:b w:val="false"/>
          <w:i w:val="false"/>
          <w:color w:val="000000"/>
          <w:sz w:val="28"/>
        </w:rPr>
        <w:t>. Экономический коллапс Ирландии во второй поливе 1950-х привел к фундаментальным и далеко идущим политическим изменениям во всей стране. Была узаконена свободная торговля, а на смену запрету на иностранное право собственности в отношении фирм, действующих в Ирландии, пришла политика, систематически поощрявшая ПИИ. В течение 1990-х произошло важное изменение в фокусе политики активизации экономики - от обрабатывающей промышленности к международным услугам и высокотехнологичным продуктам. Помимо этой стратегии, Ирландия сделала серьезный акцент на совершенствовании человеческого капитала, который в 1960-х значительно отставал от других стран, а сейчас является одним из самых образованных в Европе.</w:t>
      </w:r>
      <w:r>
        <w:br/>
      </w:r>
      <w:r>
        <w:rPr>
          <w:rFonts w:ascii="Times New Roman"/>
          <w:b w:val="false"/>
          <w:i w:val="false"/>
          <w:color w:val="000000"/>
          <w:sz w:val="28"/>
        </w:rPr>
        <w:t>
      </w:t>
      </w:r>
      <w:r>
        <w:rPr>
          <w:rFonts w:ascii="Times New Roman"/>
          <w:b/>
          <w:i w:val="false"/>
          <w:color w:val="000000"/>
          <w:sz w:val="28"/>
        </w:rPr>
        <w:t>3. Прямым результатом стал большой приток ПИИ в Ирландию</w:t>
      </w:r>
      <w:r>
        <w:rPr>
          <w:rFonts w:ascii="Times New Roman"/>
          <w:b w:val="false"/>
          <w:i w:val="false"/>
          <w:color w:val="000000"/>
          <w:sz w:val="28"/>
        </w:rPr>
        <w:t>, особенно в ее южные и восточные регионы, благодаря чему сегодня страна является седьмой в списке мировых получателей ПИИ (гораздо более высокое место, чем можно было бы ожидать исходя из размеров страны). С учетом успехов в привлечении ПИИ за последние десятилетия, наблюдатели делают вывод: "…примерно после 40 лет развития и создания потенциала (южная и восточная Ирландия (готова перейти к этапу повышения качества жизни". Ирландия ясно продемонстрировала, как приверженность экономической политике, способствующей росту, вознаграждается в долгосрочном плане. Примерами такой политики, способствующей росту, являются: финансовое благоразумие, сохранение гибкости рынка труда, фокус на научно-ориентированном формировании человеческого капитала.</w:t>
      </w:r>
      <w:r>
        <w:br/>
      </w:r>
      <w:r>
        <w:rPr>
          <w:rFonts w:ascii="Times New Roman"/>
          <w:b w:val="false"/>
          <w:i w:val="false"/>
          <w:color w:val="000000"/>
          <w:sz w:val="28"/>
        </w:rPr>
        <w:t>
      </w:t>
      </w:r>
      <w:r>
        <w:rPr>
          <w:rFonts w:ascii="Times New Roman"/>
          <w:b/>
          <w:i w:val="false"/>
          <w:color w:val="000000"/>
          <w:sz w:val="28"/>
        </w:rPr>
        <w:t>4. Человеческий капитал и Агентства по содействию инвестициям были двумя ключевыми факторами в привлечении ПИИ в эти регионы.</w:t>
      </w:r>
      <w:r>
        <w:rPr>
          <w:rFonts w:ascii="Times New Roman"/>
          <w:b w:val="false"/>
          <w:i w:val="false"/>
          <w:color w:val="000000"/>
          <w:sz w:val="28"/>
        </w:rPr>
        <w:t xml:space="preserve"> Фактически, исследование, проведенное среди иностранных инвесторов в 2002-2005 годах, показывает, что фактор образования, по-видимому, является наиболее важной причиной для руководителей бизнеса инвестировать в Ирландию. Другими значимыми факторами являются поддержка Ирландского агентства по иностранным инвестициям и нормативная база. Следует отметить, что руководители бизнеса намного меньше заинтересованы в низкой ставке налога на доходы корпораций в Ирландии, уровень которой, по мнению многих наблюдателей, играет основную роль.</w:t>
      </w:r>
    </w:p>
    <w:p>
      <w:pPr>
        <w:spacing w:after="0"/>
        <w:ind w:left="0"/>
        <w:jc w:val="left"/>
      </w:pPr>
      <w:r>
        <w:rPr>
          <w:rFonts w:ascii="Times New Roman"/>
          <w:b/>
          <w:i w:val="false"/>
          <w:color w:val="000000"/>
        </w:rPr>
        <w:t xml:space="preserve"> 2. ОПИСАНИЕ ПРОЕКТА: СОЗДАНИЕ РЕГИОНАЛЬНОГО ПОТЕНЦИАЛА ПО</w:t>
      </w:r>
      <w:r>
        <w:br/>
      </w:r>
      <w:r>
        <w:rPr>
          <w:rFonts w:ascii="Times New Roman"/>
          <w:b/>
          <w:i w:val="false"/>
          <w:color w:val="000000"/>
        </w:rPr>
        <w:t>
СОДЕЙСТВИЮ ИНВЕСТИЦИЯМ В ЦЕЛЯХ ПОДДЕРЖКИ И РАЗВИТИЯ МCБ</w:t>
      </w:r>
    </w:p>
    <w:p>
      <w:pPr>
        <w:spacing w:after="0"/>
        <w:ind w:left="0"/>
        <w:jc w:val="both"/>
      </w:pPr>
      <w:r>
        <w:rPr>
          <w:rFonts w:ascii="Times New Roman"/>
          <w:b w:val="false"/>
          <w:i w:val="false"/>
          <w:color w:val="000000"/>
          <w:sz w:val="28"/>
        </w:rPr>
        <w:t>      </w:t>
      </w:r>
      <w:r>
        <w:rPr>
          <w:rFonts w:ascii="Times New Roman"/>
          <w:b/>
          <w:i w:val="false"/>
          <w:color w:val="000000"/>
          <w:sz w:val="28"/>
        </w:rPr>
        <w:t>2.1 Цели</w:t>
      </w:r>
    </w:p>
    <w:p>
      <w:pPr>
        <w:spacing w:after="0"/>
        <w:ind w:left="0"/>
        <w:jc w:val="both"/>
      </w:pPr>
      <w:r>
        <w:rPr>
          <w:rFonts w:ascii="Times New Roman"/>
          <w:b w:val="false"/>
          <w:i w:val="false"/>
          <w:color w:val="000000"/>
          <w:sz w:val="28"/>
        </w:rPr>
        <w:t>      Основной целью данного подхода является дальнейшая интеграция национальных и международных усилий по стимулированию инвестиций.</w:t>
      </w:r>
    </w:p>
    <w:p>
      <w:pPr>
        <w:spacing w:after="0"/>
        <w:ind w:left="0"/>
        <w:jc w:val="both"/>
      </w:pPr>
      <w:r>
        <w:rPr>
          <w:rFonts w:ascii="Times New Roman"/>
          <w:b w:val="false"/>
          <w:i w:val="false"/>
          <w:color w:val="000000"/>
          <w:sz w:val="28"/>
        </w:rPr>
        <w:t>      </w:t>
      </w:r>
      <w:r>
        <w:rPr>
          <w:rFonts w:ascii="Times New Roman"/>
          <w:b/>
          <w:i w:val="false"/>
          <w:color w:val="000000"/>
          <w:sz w:val="28"/>
        </w:rPr>
        <w:t>2.2 Общий подход</w:t>
      </w:r>
    </w:p>
    <w:p>
      <w:pPr>
        <w:spacing w:after="0"/>
        <w:ind w:left="0"/>
        <w:jc w:val="both"/>
      </w:pPr>
      <w:r>
        <w:rPr>
          <w:rFonts w:ascii="Times New Roman"/>
          <w:b w:val="false"/>
          <w:i w:val="false"/>
          <w:color w:val="000000"/>
          <w:sz w:val="28"/>
        </w:rPr>
        <w:t>      15. Общий предлагаемый подход включает пять компонентов, состоящих из четырех сфер политики и одного элемента тренинга, необходимого для создания потенциала:</w:t>
      </w:r>
      <w:r>
        <w:br/>
      </w:r>
      <w:r>
        <w:rPr>
          <w:rFonts w:ascii="Times New Roman"/>
          <w:b w:val="false"/>
          <w:i w:val="false"/>
          <w:color w:val="000000"/>
          <w:sz w:val="28"/>
        </w:rPr>
        <w:t>
      </w:t>
      </w:r>
      <w:r>
        <w:rPr>
          <w:rFonts w:ascii="Times New Roman"/>
          <w:b w:val="false"/>
          <w:i/>
          <w:color w:val="000000"/>
          <w:sz w:val="28"/>
        </w:rPr>
        <w:t>Четыре политические сферы:</w:t>
      </w:r>
      <w:r>
        <w:br/>
      </w:r>
      <w:r>
        <w:rPr>
          <w:rFonts w:ascii="Times New Roman"/>
          <w:b w:val="false"/>
          <w:i w:val="false"/>
          <w:color w:val="000000"/>
          <w:sz w:val="28"/>
        </w:rPr>
        <w:t>
      </w:t>
      </w:r>
      <w:r>
        <w:rPr>
          <w:rFonts w:ascii="Times New Roman"/>
          <w:b/>
          <w:i w:val="false"/>
          <w:color w:val="000000"/>
          <w:sz w:val="28"/>
        </w:rPr>
        <w:t>1. Региональные планы стимулирования инвестиций</w:t>
      </w:r>
      <w:r>
        <w:rPr>
          <w:rFonts w:ascii="Times New Roman"/>
          <w:b w:val="false"/>
          <w:i w:val="false"/>
          <w:color w:val="000000"/>
          <w:sz w:val="28"/>
        </w:rPr>
        <w:t>: как связать национальные и международные усилия и обеспечить их синергию для стимулирования инвестиций.</w:t>
      </w:r>
      <w:r>
        <w:br/>
      </w:r>
      <w:r>
        <w:rPr>
          <w:rFonts w:ascii="Times New Roman"/>
          <w:b w:val="false"/>
          <w:i w:val="false"/>
          <w:color w:val="000000"/>
          <w:sz w:val="28"/>
        </w:rPr>
        <w:t>
      </w:t>
      </w:r>
      <w:r>
        <w:rPr>
          <w:rFonts w:ascii="Times New Roman"/>
          <w:b/>
          <w:i w:val="false"/>
          <w:color w:val="000000"/>
          <w:sz w:val="28"/>
        </w:rPr>
        <w:t>2. Управление и стратегия</w:t>
      </w:r>
      <w:r>
        <w:rPr>
          <w:rFonts w:ascii="Times New Roman"/>
          <w:b w:val="false"/>
          <w:i w:val="false"/>
          <w:color w:val="000000"/>
          <w:sz w:val="28"/>
        </w:rPr>
        <w:t>: как задействовать соответствующие механизмы управления и стратегического планирования для привлечения ПИИ.</w:t>
      </w:r>
      <w:r>
        <w:br/>
      </w:r>
      <w:r>
        <w:rPr>
          <w:rFonts w:ascii="Times New Roman"/>
          <w:b w:val="false"/>
          <w:i w:val="false"/>
          <w:color w:val="000000"/>
          <w:sz w:val="28"/>
        </w:rPr>
        <w:t>
      </w:t>
      </w:r>
      <w:r>
        <w:rPr>
          <w:rFonts w:ascii="Times New Roman"/>
          <w:b/>
          <w:i w:val="false"/>
          <w:color w:val="000000"/>
          <w:sz w:val="28"/>
        </w:rPr>
        <w:t>3. Усиление предпринимательского потенциала посредством программ по созданию деловых связей</w:t>
      </w:r>
      <w:r>
        <w:rPr>
          <w:rFonts w:ascii="Times New Roman"/>
          <w:b w:val="false"/>
          <w:i w:val="false"/>
          <w:color w:val="000000"/>
          <w:sz w:val="28"/>
        </w:rPr>
        <w:t>: как усилить предпринимательский потенциал на региональном уровне посредством передачи навыков и знаний, полученных благодаря ПИИ, то есть через программы установления связей ПИИ-МСБ.</w:t>
      </w:r>
      <w:r>
        <w:br/>
      </w:r>
      <w:r>
        <w:rPr>
          <w:rFonts w:ascii="Times New Roman"/>
          <w:b w:val="false"/>
          <w:i w:val="false"/>
          <w:color w:val="000000"/>
          <w:sz w:val="28"/>
        </w:rPr>
        <w:t>
      </w:t>
      </w:r>
      <w:r>
        <w:rPr>
          <w:rFonts w:ascii="Times New Roman"/>
          <w:b/>
          <w:i w:val="false"/>
          <w:color w:val="000000"/>
          <w:sz w:val="28"/>
        </w:rPr>
        <w:t>4. Показатели эффективности</w:t>
      </w:r>
      <w:r>
        <w:rPr>
          <w:rFonts w:ascii="Times New Roman"/>
          <w:b w:val="false"/>
          <w:i w:val="false"/>
          <w:color w:val="000000"/>
          <w:sz w:val="28"/>
        </w:rPr>
        <w:t xml:space="preserve">: Как измерить и с чем сравнивать региональное развитие и конкурентоспособность, используя стандартные показатели, включая развитие ПИИ и МСБ. </w:t>
      </w:r>
      <w:r>
        <w:br/>
      </w:r>
      <w:r>
        <w:rPr>
          <w:rFonts w:ascii="Times New Roman"/>
          <w:b w:val="false"/>
          <w:i w:val="false"/>
          <w:color w:val="000000"/>
          <w:sz w:val="28"/>
        </w:rPr>
        <w:t>
      </w:t>
      </w:r>
      <w:r>
        <w:rPr>
          <w:rFonts w:ascii="Times New Roman"/>
          <w:b w:val="false"/>
          <w:i/>
          <w:color w:val="000000"/>
          <w:sz w:val="28"/>
        </w:rPr>
        <w:t>Элемент тренинга:</w:t>
      </w:r>
      <w:r>
        <w:br/>
      </w:r>
      <w:r>
        <w:rPr>
          <w:rFonts w:ascii="Times New Roman"/>
          <w:b w:val="false"/>
          <w:i w:val="false"/>
          <w:color w:val="000000"/>
          <w:sz w:val="28"/>
        </w:rPr>
        <w:t>
      </w:t>
      </w:r>
      <w:r>
        <w:rPr>
          <w:rFonts w:ascii="Times New Roman"/>
          <w:b w:val="false"/>
          <w:i/>
          <w:color w:val="000000"/>
          <w:sz w:val="28"/>
        </w:rPr>
        <w:t>5. Создание потенциала</w:t>
      </w:r>
      <w:r>
        <w:rPr>
          <w:rFonts w:ascii="Times New Roman"/>
          <w:b w:val="false"/>
          <w:i w:val="false"/>
          <w:color w:val="000000"/>
          <w:sz w:val="28"/>
        </w:rPr>
        <w:t>: Как обеспечить должный уровень обучения и подготовки региональных политиков и бизнес-посредников (например, торгово-промышленных палат) для реализации четырех вышеназванных компонентов.</w:t>
      </w:r>
      <w:r>
        <w:br/>
      </w:r>
      <w:r>
        <w:rPr>
          <w:rFonts w:ascii="Times New Roman"/>
          <w:b w:val="false"/>
          <w:i w:val="false"/>
          <w:color w:val="000000"/>
          <w:sz w:val="28"/>
        </w:rPr>
        <w:t>
      </w:t>
      </w:r>
      <w:r>
        <w:rPr>
          <w:rFonts w:ascii="Times New Roman"/>
          <w:b w:val="false"/>
          <w:i/>
          <w:color w:val="000000"/>
          <w:sz w:val="28"/>
        </w:rPr>
        <w:t>2.2.1 Компонент 1: разработка дорожных карт по региональному стимулированию инвестиций</w:t>
      </w:r>
      <w:r>
        <w:br/>
      </w:r>
      <w:r>
        <w:rPr>
          <w:rFonts w:ascii="Times New Roman"/>
          <w:b w:val="false"/>
          <w:i w:val="false"/>
          <w:color w:val="000000"/>
          <w:sz w:val="28"/>
        </w:rPr>
        <w:t xml:space="preserve">
      16. Всесторонний территориальный обзор Республики Казахстан ОЭСР. Территориальный обзор ОЭСР рассматривает разнообразные вызовы и возможности для политики регионального развития и предоставляет рекомендации о том, как наилучшим образом разработать и реализовать комплекс мер в области политики, с особым вниманием к управленческим задачам. Недавние национальные территориальные обзоры были выполнены по таким странам как Канада, Республика Чехия, Финляндия, Венгрия, Италия, Япония, Корея, Мексика, Польша и Швейцария. Территориальный обзор ОЭСР также будет иметь результатом участие Казахстана в Комитете по территориальному развитию ОЭСР. </w:t>
      </w:r>
      <w:r>
        <w:br/>
      </w:r>
      <w:r>
        <w:rPr>
          <w:rFonts w:ascii="Times New Roman"/>
          <w:b w:val="false"/>
          <w:i w:val="false"/>
          <w:color w:val="000000"/>
          <w:sz w:val="28"/>
        </w:rPr>
        <w:t>
      17. Будет проведена углубленная работа по региональным источникам конкурентоспособности, на базе территориального обзора Казахстана ОЭСР. Она будет включать анализ предложение-спрос в отраслях промышленности, обладающих высоким потенциалом, в каждом из трех отобранных пилотных регионов, а также определении ключевых факторов успеха.</w:t>
      </w:r>
      <w:r>
        <w:br/>
      </w:r>
      <w:r>
        <w:rPr>
          <w:rFonts w:ascii="Times New Roman"/>
          <w:b w:val="false"/>
          <w:i w:val="false"/>
          <w:color w:val="000000"/>
          <w:sz w:val="28"/>
        </w:rPr>
        <w:t>
      18. Результатом по окончании Этапа 1 будут рекомендации, изложенные в региональном Плане по стимулированию инвестиций. Рекомендации также будут реализовываться на Этапах 2 и 3. План затем будет использоваться для целей содействия привлечению инвестиций в каждый регион на основании его конкурентных преимуществ.</w:t>
      </w:r>
      <w:r>
        <w:br/>
      </w:r>
      <w:r>
        <w:rPr>
          <w:rFonts w:ascii="Times New Roman"/>
          <w:b w:val="false"/>
          <w:i w:val="false"/>
          <w:color w:val="000000"/>
          <w:sz w:val="28"/>
        </w:rPr>
        <w:t>
      </w:t>
      </w:r>
      <w:r>
        <w:rPr>
          <w:rFonts w:ascii="Times New Roman"/>
          <w:b w:val="false"/>
          <w:i/>
          <w:color w:val="000000"/>
          <w:sz w:val="28"/>
        </w:rPr>
        <w:t>2.2.2 Компонент 2: развитие механизма надлежащего управления для привлечения ПИИ, как на региональном, так и на национальном уровнях</w:t>
      </w:r>
      <w:r>
        <w:br/>
      </w:r>
      <w:r>
        <w:rPr>
          <w:rFonts w:ascii="Times New Roman"/>
          <w:b w:val="false"/>
          <w:i w:val="false"/>
          <w:color w:val="000000"/>
          <w:sz w:val="28"/>
        </w:rPr>
        <w:t>
      19. ОЭСР поддержит разработку концепции и создание сети региональных агентств по содействию инвестициям, подконтрольных центральному агентству по содействию инвестициям (АСИ), для создания соответствующих механизмов надлежащего управления и стратегического планирования в целях привлечения ПИИ.</w:t>
      </w:r>
      <w:r>
        <w:br/>
      </w:r>
      <w:r>
        <w:rPr>
          <w:rFonts w:ascii="Times New Roman"/>
          <w:b w:val="false"/>
          <w:i w:val="false"/>
          <w:color w:val="000000"/>
          <w:sz w:val="28"/>
        </w:rPr>
        <w:t>
      20. План создания сети будет разработан в течение Этапа 1, а его реализация в трех пилотных регионах будет осуществляться на Этапе 2. Этап 3 предусматривает помощь властям Казахстана в распространении схемы управления на все другие регионы. Особенно важным является сотрудничество с акиматами на последнем этапе, для обеспечения успешного выполнения Программы.</w:t>
      </w:r>
      <w:r>
        <w:br/>
      </w:r>
      <w:r>
        <w:rPr>
          <w:rFonts w:ascii="Times New Roman"/>
          <w:b w:val="false"/>
          <w:i w:val="false"/>
          <w:color w:val="000000"/>
          <w:sz w:val="28"/>
        </w:rPr>
        <w:t>
      </w:t>
      </w:r>
      <w:r>
        <w:rPr>
          <w:rFonts w:ascii="Times New Roman"/>
          <w:b w:val="false"/>
          <w:i/>
          <w:color w:val="000000"/>
          <w:sz w:val="28"/>
        </w:rPr>
        <w:t>2.2.3 Компонент 3: разработка и реализация программ взаимосвязи ПИИ-МСБ</w:t>
      </w:r>
      <w:r>
        <w:br/>
      </w:r>
      <w:r>
        <w:rPr>
          <w:rFonts w:ascii="Times New Roman"/>
          <w:b w:val="false"/>
          <w:i w:val="false"/>
          <w:color w:val="000000"/>
          <w:sz w:val="28"/>
        </w:rPr>
        <w:t>
      21. Фрагментация глобальных цепочек поставок является возможностью для МСБ интегрироваться и таким образом воспользоваться позитивными побочными результатами передачи технологий, навыков и ноу-хау. Однако, в развивающихся рыночных экономиках взаимосвязи могут не возникать спонтанно, так как местные МСБ нуждаются в более серьезном технологическом усовершенствовании, чтобы соответствовать требованиям иностранных партнеров. В таких случаях публичные политики, действующие на национальном или региональном уровнях, либо специалисты по стимулированию инвестиций могут вмешаться и поддержать создание связей между транснациональными компаниями (ТНК) и МСБ. Такая поддержка называется "Программы по взаимосвязи ПИИ-МСБ". ОЭСР может оказать поддержку регионам Казахстана в разработке и запуске таких программ, основываясь на работе, в настоящее время выполняемой для сектора информационные-технологии (далее - ИТ) Казахстана.</w:t>
      </w:r>
    </w:p>
    <w:p>
      <w:pPr>
        <w:spacing w:after="0"/>
        <w:ind w:left="0"/>
        <w:jc w:val="both"/>
      </w:pPr>
      <w:r>
        <w:rPr>
          <w:rFonts w:ascii="Times New Roman"/>
          <w:b/>
          <w:i w:val="false"/>
          <w:color w:val="000000"/>
          <w:sz w:val="28"/>
        </w:rPr>
        <w:t>                  Иллюстрация 5. Виды связей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5433"/>
        <w:gridCol w:w="48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Какие типы связей существуют?</w:t>
            </w:r>
          </w:p>
        </w:tc>
      </w:tr>
      <w:tr>
        <w:trPr>
          <w:trHeight w:val="5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Тип</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Определение</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Результаты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Связи с</w:t>
            </w:r>
            <w:r>
              <w:br/>
            </w:r>
            <w:r>
              <w:rPr>
                <w:rFonts w:ascii="Times New Roman"/>
                <w:b w:val="false"/>
                <w:i w:val="false"/>
                <w:color w:val="000000"/>
                <w:sz w:val="20"/>
              </w:rPr>
              <w:t>
поставщиками</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Иностранные инвесторы</w:t>
            </w:r>
            <w:r>
              <w:br/>
            </w:r>
            <w:r>
              <w:rPr>
                <w:rFonts w:ascii="Times New Roman"/>
                <w:b w:val="false"/>
                <w:i w:val="false"/>
                <w:color w:val="000000"/>
                <w:sz w:val="20"/>
              </w:rPr>
              <w:t>
приобретают компоненты,</w:t>
            </w:r>
            <w:r>
              <w:br/>
            </w:r>
            <w:r>
              <w:rPr>
                <w:rFonts w:ascii="Times New Roman"/>
                <w:b w:val="false"/>
                <w:i w:val="false"/>
                <w:color w:val="000000"/>
                <w:sz w:val="20"/>
              </w:rPr>
              <w:t>
материалы и услуги на</w:t>
            </w:r>
            <w:r>
              <w:br/>
            </w:r>
            <w:r>
              <w:rPr>
                <w:rFonts w:ascii="Times New Roman"/>
                <w:b w:val="false"/>
                <w:i w:val="false"/>
                <w:color w:val="000000"/>
                <w:sz w:val="20"/>
              </w:rPr>
              <w:t>
месте</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рыночные</w:t>
            </w:r>
            <w:r>
              <w:br/>
            </w:r>
            <w:r>
              <w:rPr>
                <w:rFonts w:ascii="Times New Roman"/>
                <w:b w:val="false"/>
                <w:i w:val="false"/>
                <w:color w:val="000000"/>
                <w:sz w:val="20"/>
              </w:rPr>
              <w:t>
возможности для местных</w:t>
            </w:r>
            <w:r>
              <w:br/>
            </w:r>
            <w:r>
              <w:rPr>
                <w:rFonts w:ascii="Times New Roman"/>
                <w:b w:val="false"/>
                <w:i w:val="false"/>
                <w:color w:val="000000"/>
                <w:sz w:val="20"/>
              </w:rPr>
              <w:t>
фирм</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Связи с</w:t>
            </w:r>
            <w:r>
              <w:br/>
            </w:r>
            <w:r>
              <w:rPr>
                <w:rFonts w:ascii="Times New Roman"/>
                <w:b w:val="false"/>
                <w:i w:val="false"/>
                <w:color w:val="000000"/>
                <w:sz w:val="20"/>
              </w:rPr>
              <w:t>
покупателями</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МНК поручают</w:t>
            </w:r>
            <w:r>
              <w:br/>
            </w:r>
            <w:r>
              <w:rPr>
                <w:rFonts w:ascii="Times New Roman"/>
                <w:b w:val="false"/>
                <w:i w:val="false"/>
                <w:color w:val="000000"/>
                <w:sz w:val="20"/>
              </w:rPr>
              <w:t>
распространение брендовой</w:t>
            </w:r>
            <w:r>
              <w:br/>
            </w:r>
            <w:r>
              <w:rPr>
                <w:rFonts w:ascii="Times New Roman"/>
                <w:b w:val="false"/>
                <w:i w:val="false"/>
                <w:color w:val="000000"/>
                <w:sz w:val="20"/>
              </w:rPr>
              <w:t>
продукции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Ведет к развитию</w:t>
            </w:r>
            <w:r>
              <w:br/>
            </w:r>
            <w:r>
              <w:rPr>
                <w:rFonts w:ascii="Times New Roman"/>
                <w:b w:val="false"/>
                <w:i w:val="false"/>
                <w:color w:val="000000"/>
                <w:sz w:val="20"/>
              </w:rPr>
              <w:t>
нисходящих</w:t>
            </w:r>
            <w:r>
              <w:br/>
            </w:r>
            <w:r>
              <w:rPr>
                <w:rFonts w:ascii="Times New Roman"/>
                <w:b w:val="false"/>
                <w:i w:val="false"/>
                <w:color w:val="000000"/>
                <w:sz w:val="20"/>
              </w:rPr>
              <w:t>
взаимоотношений с</w:t>
            </w:r>
            <w:r>
              <w:br/>
            </w:r>
            <w:r>
              <w:rPr>
                <w:rFonts w:ascii="Times New Roman"/>
                <w:b w:val="false"/>
                <w:i w:val="false"/>
                <w:color w:val="000000"/>
                <w:sz w:val="20"/>
              </w:rPr>
              <w:t>
местными МСБ</w:t>
            </w:r>
            <w:r>
              <w:br/>
            </w:r>
            <w:r>
              <w:rPr>
                <w:rFonts w:ascii="Times New Roman"/>
                <w:b w:val="false"/>
                <w:i w:val="false"/>
                <w:color w:val="000000"/>
                <w:sz w:val="20"/>
              </w:rPr>
              <w:t>
(франчайзинг)</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Связи с</w:t>
            </w:r>
            <w:r>
              <w:br/>
            </w:r>
            <w:r>
              <w:rPr>
                <w:rFonts w:ascii="Times New Roman"/>
                <w:b w:val="false"/>
                <w:i w:val="false"/>
                <w:color w:val="000000"/>
                <w:sz w:val="20"/>
              </w:rPr>
              <w:t>
конкурентами</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МНК устанавливают новые</w:t>
            </w:r>
            <w:r>
              <w:br/>
            </w:r>
            <w:r>
              <w:rPr>
                <w:rFonts w:ascii="Times New Roman"/>
                <w:b w:val="false"/>
                <w:i w:val="false"/>
                <w:color w:val="000000"/>
                <w:sz w:val="20"/>
              </w:rPr>
              <w:t>
стандарты с которыми</w:t>
            </w:r>
            <w:r>
              <w:br/>
            </w:r>
            <w:r>
              <w:rPr>
                <w:rFonts w:ascii="Times New Roman"/>
                <w:b w:val="false"/>
                <w:i w:val="false"/>
                <w:color w:val="000000"/>
                <w:sz w:val="20"/>
              </w:rPr>
              <w:t>
должны конкурировать</w:t>
            </w:r>
            <w:r>
              <w:br/>
            </w:r>
            <w:r>
              <w:rPr>
                <w:rFonts w:ascii="Times New Roman"/>
                <w:b w:val="false"/>
                <w:i w:val="false"/>
                <w:color w:val="000000"/>
                <w:sz w:val="20"/>
              </w:rPr>
              <w:t>
местные фирмы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Повышает</w:t>
            </w:r>
            <w:r>
              <w:br/>
            </w:r>
            <w:r>
              <w:rPr>
                <w:rFonts w:ascii="Times New Roman"/>
                <w:b w:val="false"/>
                <w:i w:val="false"/>
                <w:color w:val="000000"/>
                <w:sz w:val="20"/>
              </w:rPr>
              <w:t>
производительность и</w:t>
            </w:r>
            <w:r>
              <w:br/>
            </w:r>
            <w:r>
              <w:rPr>
                <w:rFonts w:ascii="Times New Roman"/>
                <w:b w:val="false"/>
                <w:i w:val="false"/>
                <w:color w:val="000000"/>
                <w:sz w:val="20"/>
              </w:rPr>
              <w:t>
качество конечного</w:t>
            </w:r>
            <w:r>
              <w:br/>
            </w:r>
            <w:r>
              <w:rPr>
                <w:rFonts w:ascii="Times New Roman"/>
                <w:b w:val="false"/>
                <w:i w:val="false"/>
                <w:color w:val="000000"/>
                <w:sz w:val="20"/>
              </w:rPr>
              <w:t>
продукта и услуг</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Связи с</w:t>
            </w:r>
            <w:r>
              <w:br/>
            </w:r>
            <w:r>
              <w:rPr>
                <w:rFonts w:ascii="Times New Roman"/>
                <w:b w:val="false"/>
                <w:i w:val="false"/>
                <w:color w:val="000000"/>
                <w:sz w:val="20"/>
              </w:rPr>
              <w:t>
партнерами по</w:t>
            </w:r>
            <w:r>
              <w:br/>
            </w:r>
            <w:r>
              <w:rPr>
                <w:rFonts w:ascii="Times New Roman"/>
                <w:b w:val="false"/>
                <w:i w:val="false"/>
                <w:color w:val="000000"/>
                <w:sz w:val="20"/>
              </w:rPr>
              <w:t>
технологии</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МНК инициируют совместные</w:t>
            </w:r>
            <w:r>
              <w:br/>
            </w:r>
            <w:r>
              <w:rPr>
                <w:rFonts w:ascii="Times New Roman"/>
                <w:b w:val="false"/>
                <w:i w:val="false"/>
                <w:color w:val="000000"/>
                <w:sz w:val="20"/>
              </w:rPr>
              <w:t>
проекты с партнерами из</w:t>
            </w:r>
            <w:r>
              <w:br/>
            </w:r>
            <w:r>
              <w:rPr>
                <w:rFonts w:ascii="Times New Roman"/>
                <w:b w:val="false"/>
                <w:i w:val="false"/>
                <w:color w:val="000000"/>
                <w:sz w:val="20"/>
              </w:rPr>
              <w:t>
МСБ (СП, лицензионные и</w:t>
            </w:r>
            <w:r>
              <w:br/>
            </w:r>
            <w:r>
              <w:rPr>
                <w:rFonts w:ascii="Times New Roman"/>
                <w:b w:val="false"/>
                <w:i w:val="false"/>
                <w:color w:val="000000"/>
                <w:sz w:val="20"/>
              </w:rPr>
              <w:t>
стратегические альянсы)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новых</w:t>
            </w:r>
            <w:r>
              <w:br/>
            </w:r>
            <w:r>
              <w:rPr>
                <w:rFonts w:ascii="Times New Roman"/>
                <w:b w:val="false"/>
                <w:i w:val="false"/>
                <w:color w:val="000000"/>
                <w:sz w:val="20"/>
              </w:rPr>
              <w:t>
технологий для компаний</w:t>
            </w:r>
            <w:r>
              <w:br/>
            </w:r>
            <w:r>
              <w:rPr>
                <w:rFonts w:ascii="Times New Roman"/>
                <w:b w:val="false"/>
                <w:i w:val="false"/>
                <w:color w:val="000000"/>
                <w:sz w:val="20"/>
              </w:rPr>
              <w:t>
принимающей экономики</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эффекты</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Иностранные инвесторы</w:t>
            </w:r>
            <w:r>
              <w:br/>
            </w:r>
            <w:r>
              <w:rPr>
                <w:rFonts w:ascii="Times New Roman"/>
                <w:b w:val="false"/>
                <w:i w:val="false"/>
                <w:color w:val="000000"/>
                <w:sz w:val="20"/>
              </w:rPr>
              <w:t>
демонстрируют новые методы</w:t>
            </w:r>
            <w:r>
              <w:br/>
            </w:r>
            <w:r>
              <w:rPr>
                <w:rFonts w:ascii="Times New Roman"/>
                <w:b w:val="false"/>
                <w:i w:val="false"/>
                <w:color w:val="000000"/>
                <w:sz w:val="20"/>
              </w:rPr>
              <w:t>
работы местным фирмам</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Стимулирует инновации и</w:t>
            </w:r>
            <w:r>
              <w:br/>
            </w:r>
            <w:r>
              <w:rPr>
                <w:rFonts w:ascii="Times New Roman"/>
                <w:b w:val="false"/>
                <w:i w:val="false"/>
                <w:color w:val="000000"/>
                <w:sz w:val="20"/>
              </w:rPr>
              <w:t>
побочные результаты для</w:t>
            </w:r>
            <w:r>
              <w:br/>
            </w:r>
            <w:r>
              <w:rPr>
                <w:rFonts w:ascii="Times New Roman"/>
                <w:b w:val="false"/>
                <w:i w:val="false"/>
                <w:color w:val="000000"/>
                <w:sz w:val="20"/>
              </w:rPr>
              <w:t>
человеческого капитала</w:t>
            </w:r>
          </w:p>
        </w:tc>
      </w:tr>
    </w:tbl>
    <w:p>
      <w:pPr>
        <w:spacing w:after="0"/>
        <w:ind w:left="0"/>
        <w:jc w:val="both"/>
      </w:pPr>
      <w:r>
        <w:rPr>
          <w:rFonts w:ascii="Times New Roman"/>
          <w:b w:val="false"/>
          <w:i w:val="false"/>
          <w:color w:val="000000"/>
          <w:sz w:val="28"/>
        </w:rPr>
        <w:t>      </w:t>
      </w:r>
      <w:r>
        <w:rPr>
          <w:rFonts w:ascii="Times New Roman"/>
          <w:b w:val="false"/>
          <w:i/>
          <w:color w:val="000000"/>
          <w:sz w:val="28"/>
        </w:rPr>
        <w:t>2.2.4 Компонент 4: мониторинг общей региональной стратегии стимулирования инвестиций</w:t>
      </w:r>
      <w:r>
        <w:br/>
      </w:r>
      <w:r>
        <w:rPr>
          <w:rFonts w:ascii="Times New Roman"/>
          <w:b w:val="false"/>
          <w:i w:val="false"/>
          <w:color w:val="000000"/>
          <w:sz w:val="28"/>
        </w:rPr>
        <w:t>
      22. Контрольные показатели помогают оценить и скорректировать региональные стратегии стимулирования инвестиций и измерить их воздействие. Мониторинг является многомерным и комплексным мероприятием, обеспечивающим обоснованность мер по стимулированию инвестиций, политики, направленной на развитие МСБ и эффективности программ по взаимосвязи ПИИ-МСБ. Кроме того, система показателей является двойной, поскольку национальные показатели переводятся и адаптируются для национального уровня. Иллюстрация 6 демонстрирует, как могут различаться региональные и национальные показатели в плане оценки мер по стимулированию инвестиций. Этот компонент должен включать развитие оценки субсидий для производителей.</w:t>
      </w:r>
    </w:p>
    <w:p>
      <w:pPr>
        <w:spacing w:after="0"/>
        <w:ind w:left="0"/>
        <w:jc w:val="both"/>
      </w:pPr>
      <w:r>
        <w:rPr>
          <w:rFonts w:ascii="Times New Roman"/>
          <w:b/>
          <w:i w:val="false"/>
          <w:color w:val="000000"/>
          <w:sz w:val="28"/>
        </w:rPr>
        <w:t>  Иллюстрация 6. Пример показателей стимулирования инвестиций</w:t>
      </w:r>
      <w:r>
        <w:br/>
      </w:r>
      <w:r>
        <w:rPr>
          <w:rFonts w:ascii="Times New Roman"/>
          <w:b w:val="false"/>
          <w:i w:val="false"/>
          <w:color w:val="000000"/>
          <w:sz w:val="28"/>
        </w:rPr>
        <w:t>
</w:t>
      </w:r>
      <w:r>
        <w:rPr>
          <w:rFonts w:ascii="Times New Roman"/>
          <w:b/>
          <w:i w:val="false"/>
          <w:color w:val="000000"/>
          <w:sz w:val="28"/>
        </w:rPr>
        <w:t>             на национальном и региональном уровнях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4373"/>
        <w:gridCol w:w="51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Национальные и региональные показатели могут значительно</w:t>
            </w:r>
            <w:r>
              <w:br/>
            </w:r>
            <w:r>
              <w:rPr>
                <w:rFonts w:ascii="Times New Roman"/>
                <w:b w:val="false"/>
                <w:i w:val="false"/>
                <w:color w:val="000000"/>
                <w:sz w:val="20"/>
              </w:rPr>
              <w:t>
различаться – меры по стимулированию инвестиций являются хорошим</w:t>
            </w:r>
            <w:r>
              <w:br/>
            </w:r>
            <w:r>
              <w:rPr>
                <w:rFonts w:ascii="Times New Roman"/>
                <w:b w:val="false"/>
                <w:i w:val="false"/>
                <w:color w:val="000000"/>
                <w:sz w:val="20"/>
              </w:rPr>
              <w:t>
примером</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институциональной</w:t>
            </w:r>
            <w:r>
              <w:br/>
            </w:r>
            <w:r>
              <w:rPr>
                <w:rFonts w:ascii="Times New Roman"/>
                <w:b w:val="false"/>
                <w:i w:val="false"/>
                <w:color w:val="000000"/>
                <w:sz w:val="20"/>
              </w:rPr>
              <w:t>
базы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на</w:t>
            </w:r>
            <w:r>
              <w:br/>
            </w:r>
            <w:r>
              <w:rPr>
                <w:rFonts w:ascii="Times New Roman"/>
                <w:b w:val="false"/>
                <w:i w:val="false"/>
                <w:color w:val="000000"/>
                <w:sz w:val="20"/>
              </w:rPr>
              <w:t>
национальном уровне</w:t>
            </w:r>
          </w:p>
          <w:p>
            <w:pPr>
              <w:spacing w:after="20"/>
              <w:ind w:left="20"/>
              <w:jc w:val="both"/>
            </w:pPr>
            <w:r>
              <w:rPr>
                <w:rFonts w:ascii="Times New Roman"/>
                <w:b w:val="false"/>
                <w:i w:val="false"/>
                <w:color w:val="000000"/>
                <w:sz w:val="20"/>
              </w:rPr>
              <w:t>Уровень мониторинга и</w:t>
            </w:r>
            <w:r>
              <w:br/>
            </w:r>
            <w:r>
              <w:rPr>
                <w:rFonts w:ascii="Times New Roman"/>
                <w:b w:val="false"/>
                <w:i w:val="false"/>
                <w:color w:val="000000"/>
                <w:sz w:val="20"/>
              </w:rPr>
              <w:t>
оценки</w:t>
            </w:r>
          </w:p>
          <w:p>
            <w:pPr>
              <w:spacing w:after="20"/>
              <w:ind w:left="20"/>
              <w:jc w:val="both"/>
            </w:pPr>
            <w:r>
              <w:rPr>
                <w:rFonts w:ascii="Times New Roman"/>
                <w:b w:val="false"/>
                <w:i w:val="false"/>
                <w:color w:val="000000"/>
                <w:sz w:val="20"/>
              </w:rPr>
              <w:t>Стратегия</w:t>
            </w:r>
          </w:p>
          <w:p>
            <w:pPr>
              <w:spacing w:after="20"/>
              <w:ind w:left="20"/>
              <w:jc w:val="both"/>
            </w:pPr>
            <w:r>
              <w:rPr>
                <w:rFonts w:ascii="Times New Roman"/>
                <w:b w:val="false"/>
                <w:i w:val="false"/>
                <w:color w:val="000000"/>
                <w:sz w:val="20"/>
              </w:rPr>
              <w:t>Агентство по</w:t>
            </w:r>
            <w:r>
              <w:br/>
            </w:r>
            <w:r>
              <w:rPr>
                <w:rFonts w:ascii="Times New Roman"/>
                <w:b w:val="false"/>
                <w:i w:val="false"/>
                <w:color w:val="000000"/>
                <w:sz w:val="20"/>
              </w:rPr>
              <w:t>
реализации</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на</w:t>
            </w:r>
            <w:r>
              <w:br/>
            </w:r>
            <w:r>
              <w:rPr>
                <w:rFonts w:ascii="Times New Roman"/>
                <w:b w:val="false"/>
                <w:i w:val="false"/>
                <w:color w:val="000000"/>
                <w:sz w:val="20"/>
              </w:rPr>
              <w:t>
региональном уровне</w:t>
            </w:r>
          </w:p>
          <w:p>
            <w:pPr>
              <w:spacing w:after="20"/>
              <w:ind w:left="20"/>
              <w:jc w:val="both"/>
            </w:pPr>
            <w:r>
              <w:rPr>
                <w:rFonts w:ascii="Times New Roman"/>
                <w:b w:val="false"/>
                <w:i w:val="false"/>
                <w:color w:val="000000"/>
                <w:sz w:val="20"/>
              </w:rPr>
              <w:t>Уровень мониторинга и</w:t>
            </w:r>
            <w:r>
              <w:br/>
            </w:r>
            <w:r>
              <w:rPr>
                <w:rFonts w:ascii="Times New Roman"/>
                <w:b w:val="false"/>
                <w:i w:val="false"/>
                <w:color w:val="000000"/>
                <w:sz w:val="20"/>
              </w:rPr>
              <w:t>
оценки</w:t>
            </w:r>
          </w:p>
          <w:p>
            <w:pPr>
              <w:spacing w:after="20"/>
              <w:ind w:left="20"/>
              <w:jc w:val="both"/>
            </w:pPr>
            <w:r>
              <w:rPr>
                <w:rFonts w:ascii="Times New Roman"/>
                <w:b w:val="false"/>
                <w:i w:val="false"/>
                <w:color w:val="000000"/>
                <w:sz w:val="20"/>
              </w:rPr>
              <w:t>План действий</w:t>
            </w:r>
          </w:p>
          <w:p>
            <w:pPr>
              <w:spacing w:after="20"/>
              <w:ind w:left="20"/>
              <w:jc w:val="both"/>
            </w:pPr>
            <w:r>
              <w:rPr>
                <w:rFonts w:ascii="Times New Roman"/>
                <w:b w:val="false"/>
                <w:i w:val="false"/>
                <w:color w:val="000000"/>
                <w:sz w:val="20"/>
              </w:rPr>
              <w:t>Институциональная</w:t>
            </w:r>
            <w:r>
              <w:br/>
            </w:r>
            <w:r>
              <w:rPr>
                <w:rFonts w:ascii="Times New Roman"/>
                <w:b w:val="false"/>
                <w:i w:val="false"/>
                <w:color w:val="000000"/>
                <w:sz w:val="20"/>
              </w:rPr>
              <w:t>
поддержка</w:t>
            </w:r>
            <w:r>
              <w:br/>
            </w:r>
            <w:r>
              <w:rPr>
                <w:rFonts w:ascii="Times New Roman"/>
                <w:b w:val="false"/>
                <w:i w:val="false"/>
                <w:color w:val="000000"/>
                <w:sz w:val="20"/>
              </w:rPr>
              <w:t>
(показатели, специфичные</w:t>
            </w:r>
            <w:r>
              <w:br/>
            </w:r>
            <w:r>
              <w:rPr>
                <w:rFonts w:ascii="Times New Roman"/>
                <w:b w:val="false"/>
                <w:i w:val="false"/>
                <w:color w:val="000000"/>
                <w:sz w:val="20"/>
              </w:rPr>
              <w:t>
для конкретного региона)</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операционных</w:t>
            </w:r>
            <w:r>
              <w:br/>
            </w:r>
            <w:r>
              <w:rPr>
                <w:rFonts w:ascii="Times New Roman"/>
                <w:b w:val="false"/>
                <w:i w:val="false"/>
                <w:color w:val="000000"/>
                <w:sz w:val="20"/>
              </w:rPr>
              <w:t>
услуг и действий</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Связи ПИИ-МСБ</w:t>
            </w:r>
          </w:p>
          <w:p>
            <w:pPr>
              <w:spacing w:after="20"/>
              <w:ind w:left="20"/>
              <w:jc w:val="both"/>
            </w:pPr>
            <w:r>
              <w:rPr>
                <w:rFonts w:ascii="Times New Roman"/>
                <w:b w:val="false"/>
                <w:i w:val="false"/>
                <w:color w:val="000000"/>
                <w:sz w:val="20"/>
              </w:rPr>
              <w:t>Принцип единого окна</w:t>
            </w:r>
          </w:p>
          <w:p>
            <w:pPr>
              <w:spacing w:after="20"/>
              <w:ind w:left="20"/>
              <w:jc w:val="both"/>
            </w:pPr>
            <w:r>
              <w:rPr>
                <w:rFonts w:ascii="Times New Roman"/>
                <w:b w:val="false"/>
                <w:i w:val="false"/>
                <w:color w:val="000000"/>
                <w:sz w:val="20"/>
              </w:rPr>
              <w:t>Управление связями с</w:t>
            </w:r>
            <w:r>
              <w:br/>
            </w:r>
            <w:r>
              <w:rPr>
                <w:rFonts w:ascii="Times New Roman"/>
                <w:b w:val="false"/>
                <w:i w:val="false"/>
                <w:color w:val="000000"/>
                <w:sz w:val="20"/>
              </w:rPr>
              <w:t>
потребителями</w:t>
            </w:r>
          </w:p>
          <w:p>
            <w:pPr>
              <w:spacing w:after="20"/>
              <w:ind w:left="20"/>
              <w:jc w:val="both"/>
            </w:pPr>
            <w:r>
              <w:rPr>
                <w:rFonts w:ascii="Times New Roman"/>
                <w:b w:val="false"/>
                <w:i w:val="false"/>
                <w:color w:val="000000"/>
                <w:sz w:val="20"/>
              </w:rPr>
              <w:t>Пропаганда политики</w:t>
            </w:r>
          </w:p>
          <w:p>
            <w:pPr>
              <w:spacing w:after="20"/>
              <w:ind w:left="20"/>
              <w:jc w:val="both"/>
            </w:pPr>
            <w:r>
              <w:rPr>
                <w:rFonts w:ascii="Times New Roman"/>
                <w:b w:val="false"/>
                <w:i w:val="false"/>
                <w:color w:val="000000"/>
                <w:sz w:val="20"/>
              </w:rPr>
              <w:t>Последующие услуги</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льготы,</w:t>
            </w:r>
            <w:r>
              <w:br/>
            </w:r>
            <w:r>
              <w:rPr>
                <w:rFonts w:ascii="Times New Roman"/>
                <w:b w:val="false"/>
                <w:i w:val="false"/>
                <w:color w:val="000000"/>
                <w:sz w:val="20"/>
              </w:rPr>
              <w:t>
регулируемые местной</w:t>
            </w:r>
            <w:r>
              <w:br/>
            </w:r>
            <w:r>
              <w:rPr>
                <w:rFonts w:ascii="Times New Roman"/>
                <w:b w:val="false"/>
                <w:i w:val="false"/>
                <w:color w:val="000000"/>
                <w:sz w:val="20"/>
              </w:rPr>
              <w:t>
администрацией</w:t>
            </w:r>
          </w:p>
          <w:p>
            <w:pPr>
              <w:spacing w:after="20"/>
              <w:ind w:left="20"/>
              <w:jc w:val="both"/>
            </w:pPr>
            <w:r>
              <w:rPr>
                <w:rFonts w:ascii="Times New Roman"/>
                <w:b w:val="false"/>
                <w:i w:val="false"/>
                <w:color w:val="000000"/>
                <w:sz w:val="20"/>
              </w:rPr>
              <w:t>Титулы и кадастр</w:t>
            </w:r>
          </w:p>
          <w:p>
            <w:pPr>
              <w:spacing w:after="20"/>
              <w:ind w:left="20"/>
              <w:jc w:val="both"/>
            </w:pPr>
            <w:r>
              <w:rPr>
                <w:rFonts w:ascii="Times New Roman"/>
                <w:b w:val="false"/>
                <w:i w:val="false"/>
                <w:color w:val="000000"/>
                <w:sz w:val="20"/>
              </w:rPr>
              <w:t>Индустриальные</w:t>
            </w:r>
            <w:r>
              <w:br/>
            </w:r>
            <w:r>
              <w:rPr>
                <w:rFonts w:ascii="Times New Roman"/>
                <w:b w:val="false"/>
                <w:i w:val="false"/>
                <w:color w:val="000000"/>
                <w:sz w:val="20"/>
              </w:rPr>
              <w:t>
парки/свободные зоны</w:t>
            </w:r>
          </w:p>
          <w:p>
            <w:pPr>
              <w:spacing w:after="20"/>
              <w:ind w:left="20"/>
              <w:jc w:val="both"/>
            </w:pPr>
            <w:r>
              <w:rPr>
                <w:rFonts w:ascii="Times New Roman"/>
                <w:b w:val="false"/>
                <w:i w:val="false"/>
                <w:color w:val="000000"/>
                <w:sz w:val="20"/>
              </w:rPr>
              <w:t>Программы связи</w:t>
            </w:r>
          </w:p>
          <w:p>
            <w:pPr>
              <w:spacing w:after="20"/>
              <w:ind w:left="20"/>
              <w:jc w:val="both"/>
            </w:pPr>
            <w:r>
              <w:rPr>
                <w:rFonts w:ascii="Times New Roman"/>
                <w:b w:val="false"/>
                <w:i w:val="false"/>
                <w:color w:val="000000"/>
                <w:sz w:val="20"/>
              </w:rPr>
              <w:t>Принцип единого окна</w:t>
            </w:r>
          </w:p>
          <w:p>
            <w:pPr>
              <w:spacing w:after="20"/>
              <w:ind w:left="20"/>
              <w:jc w:val="both"/>
            </w:pPr>
            <w:r>
              <w:rPr>
                <w:rFonts w:ascii="Times New Roman"/>
                <w:b w:val="false"/>
                <w:i w:val="false"/>
                <w:color w:val="000000"/>
                <w:sz w:val="20"/>
              </w:rPr>
              <w:t>Управление связями с</w:t>
            </w:r>
            <w:r>
              <w:br/>
            </w:r>
            <w:r>
              <w:rPr>
                <w:rFonts w:ascii="Times New Roman"/>
                <w:b w:val="false"/>
                <w:i w:val="false"/>
                <w:color w:val="000000"/>
                <w:sz w:val="20"/>
              </w:rPr>
              <w:t>
потребителями</w:t>
            </w:r>
          </w:p>
          <w:p>
            <w:pPr>
              <w:spacing w:after="20"/>
              <w:ind w:left="20"/>
              <w:jc w:val="both"/>
            </w:pPr>
            <w:r>
              <w:rPr>
                <w:rFonts w:ascii="Times New Roman"/>
                <w:b w:val="false"/>
                <w:i w:val="false"/>
                <w:color w:val="000000"/>
                <w:sz w:val="20"/>
              </w:rPr>
              <w:t>Пропаганда политики</w:t>
            </w:r>
          </w:p>
          <w:p>
            <w:pPr>
              <w:spacing w:after="20"/>
              <w:ind w:left="20"/>
              <w:jc w:val="both"/>
            </w:pPr>
            <w:r>
              <w:rPr>
                <w:rFonts w:ascii="Times New Roman"/>
                <w:b w:val="false"/>
                <w:i w:val="false"/>
                <w:color w:val="000000"/>
                <w:sz w:val="20"/>
              </w:rPr>
              <w:t>Последующие услуги</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293"/>
        <w:gridCol w:w="1713"/>
        <w:gridCol w:w="2293"/>
        <w:gridCol w:w="2453"/>
        <w:gridCol w:w="2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Подробный пример четырех показателей политики по стимулированию инвестиций,</w:t>
            </w:r>
            <w:r>
              <w:br/>
            </w:r>
            <w:r>
              <w:rPr>
                <w:rFonts w:ascii="Times New Roman"/>
                <w:b w:val="false"/>
                <w:i w:val="false"/>
                <w:color w:val="000000"/>
                <w:sz w:val="20"/>
              </w:rPr>
              <w:t>
</w:t>
            </w:r>
            <w:r>
              <w:rPr>
                <w:rFonts w:ascii="Times New Roman"/>
                <w:b w:val="false"/>
                <w:i w:val="false"/>
                <w:color w:val="000000"/>
                <w:sz w:val="20"/>
              </w:rPr>
              <w:t>специфичных для конкретного региона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действий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плана</w:t>
            </w:r>
            <w:r>
              <w:br/>
            </w:r>
            <w:r>
              <w:rPr>
                <w:rFonts w:ascii="Times New Roman"/>
                <w:b w:val="false"/>
                <w:i w:val="false"/>
                <w:color w:val="000000"/>
                <w:sz w:val="20"/>
              </w:rPr>
              <w:t>
</w:t>
            </w:r>
            <w:r>
              <w:rPr>
                <w:rFonts w:ascii="Times New Roman"/>
                <w:b w:val="false"/>
                <w:i w:val="false"/>
                <w:color w:val="000000"/>
                <w:sz w:val="20"/>
              </w:rPr>
              <w:t>действий по</w:t>
            </w:r>
            <w:r>
              <w:br/>
            </w:r>
            <w:r>
              <w:rPr>
                <w:rFonts w:ascii="Times New Roman"/>
                <w:b w:val="false"/>
                <w:i w:val="false"/>
                <w:color w:val="000000"/>
                <w:sz w:val="20"/>
              </w:rPr>
              <w:t>
</w:t>
            </w:r>
            <w:r>
              <w:rPr>
                <w:rFonts w:ascii="Times New Roman"/>
                <w:b w:val="false"/>
                <w:i w:val="false"/>
                <w:color w:val="000000"/>
                <w:sz w:val="20"/>
              </w:rPr>
              <w:t>стимулированию</w:t>
            </w:r>
            <w:r>
              <w:br/>
            </w:r>
            <w:r>
              <w:rPr>
                <w:rFonts w:ascii="Times New Roman"/>
                <w:b w:val="false"/>
                <w:i w:val="false"/>
                <w:color w:val="000000"/>
                <w:sz w:val="20"/>
              </w:rPr>
              <w:t>
</w:t>
            </w:r>
            <w:r>
              <w:rPr>
                <w:rFonts w:ascii="Times New Roman"/>
                <w:b w:val="false"/>
                <w:i w:val="false"/>
                <w:color w:val="000000"/>
                <w:sz w:val="20"/>
              </w:rPr>
              <w:t>и облегчению</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(СОИ)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действий</w:t>
            </w:r>
            <w:r>
              <w:br/>
            </w:r>
            <w:r>
              <w:rPr>
                <w:rFonts w:ascii="Times New Roman"/>
                <w:b w:val="false"/>
                <w:i w:val="false"/>
                <w:color w:val="000000"/>
                <w:sz w:val="20"/>
              </w:rPr>
              <w:t>
</w:t>
            </w:r>
            <w:r>
              <w:rPr>
                <w:rFonts w:ascii="Times New Roman"/>
                <w:b w:val="false"/>
                <w:i w:val="false"/>
                <w:color w:val="000000"/>
                <w:sz w:val="20"/>
              </w:rPr>
              <w:t>СОИ в</w:t>
            </w:r>
            <w:r>
              <w:br/>
            </w:r>
            <w:r>
              <w:rPr>
                <w:rFonts w:ascii="Times New Roman"/>
                <w:b w:val="false"/>
                <w:i w:val="false"/>
                <w:color w:val="000000"/>
                <w:sz w:val="20"/>
              </w:rPr>
              <w:t>
</w:t>
            </w:r>
            <w:r>
              <w:rPr>
                <w:rFonts w:ascii="Times New Roman"/>
                <w:b w:val="false"/>
                <w:i w:val="false"/>
                <w:color w:val="000000"/>
                <w:sz w:val="20"/>
              </w:rPr>
              <w:t>стадии</w:t>
            </w:r>
            <w:r>
              <w:br/>
            </w:r>
            <w:r>
              <w:rPr>
                <w:rFonts w:ascii="Times New Roman"/>
                <w:b w:val="false"/>
                <w:i w:val="false"/>
                <w:color w:val="000000"/>
                <w:sz w:val="20"/>
              </w:rPr>
              <w:t>
</w:t>
            </w:r>
            <w:r>
              <w:rPr>
                <w:rFonts w:ascii="Times New Roman"/>
                <w:b w:val="false"/>
                <w:i w:val="false"/>
                <w:color w:val="000000"/>
                <w:sz w:val="20"/>
              </w:rPr>
              <w:t>разработки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действий</w:t>
            </w:r>
            <w:r>
              <w:br/>
            </w:r>
            <w:r>
              <w:rPr>
                <w:rFonts w:ascii="Times New Roman"/>
                <w:b w:val="false"/>
                <w:i w:val="false"/>
                <w:color w:val="000000"/>
                <w:sz w:val="20"/>
              </w:rPr>
              <w:t>
</w:t>
            </w:r>
            <w:r>
              <w:rPr>
                <w:rFonts w:ascii="Times New Roman"/>
                <w:b w:val="false"/>
                <w:i w:val="false"/>
                <w:color w:val="000000"/>
                <w:sz w:val="20"/>
              </w:rPr>
              <w:t>СОИ</w:t>
            </w:r>
            <w:r>
              <w:br/>
            </w:r>
            <w:r>
              <w:rPr>
                <w:rFonts w:ascii="Times New Roman"/>
                <w:b w:val="false"/>
                <w:i w:val="false"/>
                <w:color w:val="000000"/>
                <w:sz w:val="20"/>
              </w:rPr>
              <w:t>
</w:t>
            </w:r>
            <w:r>
              <w:rPr>
                <w:rFonts w:ascii="Times New Roman"/>
                <w:b w:val="false"/>
                <w:i w:val="false"/>
                <w:color w:val="000000"/>
                <w:sz w:val="20"/>
              </w:rPr>
              <w:t>утверждается</w:t>
            </w:r>
            <w:r>
              <w:br/>
            </w:r>
            <w:r>
              <w:rPr>
                <w:rFonts w:ascii="Times New Roman"/>
                <w:b w:val="false"/>
                <w:i w:val="false"/>
                <w:color w:val="000000"/>
                <w:sz w:val="20"/>
              </w:rPr>
              <w:t>
</w:t>
            </w:r>
            <w:r>
              <w:rPr>
                <w:rFonts w:ascii="Times New Roman"/>
                <w:b w:val="false"/>
                <w:i w:val="false"/>
                <w:color w:val="000000"/>
                <w:sz w:val="20"/>
              </w:rPr>
              <w:t>агентством и</w:t>
            </w:r>
            <w:r>
              <w:br/>
            </w:r>
            <w:r>
              <w:rPr>
                <w:rFonts w:ascii="Times New Roman"/>
                <w:b w:val="false"/>
                <w:i w:val="false"/>
                <w:color w:val="000000"/>
                <w:sz w:val="20"/>
              </w:rPr>
              <w:t>
</w:t>
            </w:r>
            <w:r>
              <w:rPr>
                <w:rFonts w:ascii="Times New Roman"/>
                <w:b w:val="false"/>
                <w:i w:val="false"/>
                <w:color w:val="000000"/>
                <w:sz w:val="20"/>
              </w:rPr>
              <w:t>содержит</w:t>
            </w:r>
            <w:r>
              <w:br/>
            </w:r>
            <w:r>
              <w:rPr>
                <w:rFonts w:ascii="Times New Roman"/>
                <w:b w:val="false"/>
                <w:i w:val="false"/>
                <w:color w:val="000000"/>
                <w:sz w:val="20"/>
              </w:rPr>
              <w:t>
</w:t>
            </w:r>
            <w:r>
              <w:rPr>
                <w:rFonts w:ascii="Times New Roman"/>
                <w:b w:val="false"/>
                <w:i w:val="false"/>
                <w:color w:val="000000"/>
                <w:sz w:val="20"/>
              </w:rPr>
              <w:t>четкое видение</w:t>
            </w:r>
            <w:r>
              <w:br/>
            </w:r>
            <w:r>
              <w:rPr>
                <w:rFonts w:ascii="Times New Roman"/>
                <w:b w:val="false"/>
                <w:i w:val="false"/>
                <w:color w:val="000000"/>
                <w:sz w:val="20"/>
              </w:rPr>
              <w:t>
</w:t>
            </w:r>
            <w:r>
              <w:rPr>
                <w:rFonts w:ascii="Times New Roman"/>
                <w:b w:val="false"/>
                <w:i w:val="false"/>
                <w:color w:val="000000"/>
                <w:sz w:val="20"/>
              </w:rPr>
              <w:t>региона;</w:t>
            </w:r>
            <w:r>
              <w:br/>
            </w:r>
            <w:r>
              <w:rPr>
                <w:rFonts w:ascii="Times New Roman"/>
                <w:b w:val="false"/>
                <w:i w:val="false"/>
                <w:color w:val="000000"/>
                <w:sz w:val="20"/>
              </w:rPr>
              <w:t>
</w:t>
            </w:r>
            <w:r>
              <w:rPr>
                <w:rFonts w:ascii="Times New Roman"/>
                <w:b w:val="false"/>
                <w:i w:val="false"/>
                <w:color w:val="000000"/>
                <w:sz w:val="20"/>
              </w:rPr>
              <w:t>точное</w:t>
            </w:r>
            <w:r>
              <w:br/>
            </w:r>
            <w:r>
              <w:rPr>
                <w:rFonts w:ascii="Times New Roman"/>
                <w:b w:val="false"/>
                <w:i w:val="false"/>
                <w:color w:val="000000"/>
                <w:sz w:val="20"/>
              </w:rPr>
              <w:t>
</w:t>
            </w:r>
            <w:r>
              <w:rPr>
                <w:rFonts w:ascii="Times New Roman"/>
                <w:b w:val="false"/>
                <w:i w:val="false"/>
                <w:color w:val="000000"/>
                <w:sz w:val="20"/>
              </w:rPr>
              <w:t>определение</w:t>
            </w:r>
            <w:r>
              <w:br/>
            </w:r>
            <w:r>
              <w:rPr>
                <w:rFonts w:ascii="Times New Roman"/>
                <w:b w:val="false"/>
                <w:i w:val="false"/>
                <w:color w:val="000000"/>
                <w:sz w:val="20"/>
              </w:rPr>
              <w:t>
</w:t>
            </w:r>
            <w:r>
              <w:rPr>
                <w:rFonts w:ascii="Times New Roman"/>
                <w:b w:val="false"/>
                <w:i w:val="false"/>
                <w:color w:val="000000"/>
                <w:sz w:val="20"/>
              </w:rPr>
              <w:t>сферы</w:t>
            </w:r>
            <w:r>
              <w:br/>
            </w:r>
            <w:r>
              <w:rPr>
                <w:rFonts w:ascii="Times New Roman"/>
                <w:b w:val="false"/>
                <w:i w:val="false"/>
                <w:color w:val="000000"/>
                <w:sz w:val="20"/>
              </w:rPr>
              <w:t>
</w:t>
            </w:r>
            <w:r>
              <w:rPr>
                <w:rFonts w:ascii="Times New Roman"/>
                <w:b w:val="false"/>
                <w:i w:val="false"/>
                <w:color w:val="000000"/>
                <w:sz w:val="20"/>
              </w:rPr>
              <w:t>конкурирования;</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конкурирования</w:t>
            </w:r>
            <w:r>
              <w:br/>
            </w:r>
            <w:r>
              <w:rPr>
                <w:rFonts w:ascii="Times New Roman"/>
                <w:b w:val="false"/>
                <w:i w:val="false"/>
                <w:color w:val="000000"/>
                <w:sz w:val="20"/>
              </w:rPr>
              <w:t>
</w:t>
            </w:r>
            <w:r>
              <w:rPr>
                <w:rFonts w:ascii="Times New Roman"/>
                <w:b w:val="false"/>
                <w:i w:val="false"/>
                <w:color w:val="000000"/>
                <w:sz w:val="20"/>
              </w:rPr>
              <w:t>и достижения</w:t>
            </w:r>
            <w:r>
              <w:br/>
            </w:r>
            <w:r>
              <w:rPr>
                <w:rFonts w:ascii="Times New Roman"/>
                <w:b w:val="false"/>
                <w:i w:val="false"/>
                <w:color w:val="000000"/>
                <w:sz w:val="20"/>
              </w:rPr>
              <w:t>
</w:t>
            </w:r>
            <w:r>
              <w:rPr>
                <w:rFonts w:ascii="Times New Roman"/>
                <w:b w:val="false"/>
                <w:i w:val="false"/>
                <w:color w:val="000000"/>
                <w:sz w:val="20"/>
              </w:rPr>
              <w:t>целей. План не</w:t>
            </w:r>
            <w:r>
              <w:br/>
            </w:r>
            <w:r>
              <w:rPr>
                <w:rFonts w:ascii="Times New Roman"/>
                <w:b w:val="false"/>
                <w:i w:val="false"/>
                <w:color w:val="000000"/>
                <w:sz w:val="20"/>
              </w:rPr>
              <w:t>
</w:t>
            </w:r>
            <w:r>
              <w:rPr>
                <w:rFonts w:ascii="Times New Roman"/>
                <w:b w:val="false"/>
                <w:i w:val="false"/>
                <w:color w:val="000000"/>
                <w:sz w:val="20"/>
              </w:rPr>
              <w:t>содержит</w:t>
            </w:r>
            <w:r>
              <w:br/>
            </w:r>
            <w:r>
              <w:rPr>
                <w:rFonts w:ascii="Times New Roman"/>
                <w:b w:val="false"/>
                <w:i w:val="false"/>
                <w:color w:val="000000"/>
                <w:sz w:val="20"/>
              </w:rPr>
              <w:t>
</w:t>
            </w:r>
            <w:r>
              <w:rPr>
                <w:rFonts w:ascii="Times New Roman"/>
                <w:b w:val="false"/>
                <w:i w:val="false"/>
                <w:color w:val="000000"/>
                <w:sz w:val="20"/>
              </w:rPr>
              <w:t>ключевые</w:t>
            </w:r>
            <w:r>
              <w:br/>
            </w:r>
            <w:r>
              <w:rPr>
                <w:rFonts w:ascii="Times New Roman"/>
                <w:b w:val="false"/>
                <w:i w:val="false"/>
                <w:color w:val="000000"/>
                <w:sz w:val="20"/>
              </w:rPr>
              <w:t>
</w:t>
            </w:r>
            <w:r>
              <w:rPr>
                <w:rFonts w:ascii="Times New Roman"/>
                <w:b w:val="false"/>
                <w:i w:val="false"/>
                <w:color w:val="000000"/>
                <w:sz w:val="20"/>
              </w:rPr>
              <w:t>механизмы его</w:t>
            </w:r>
            <w:r>
              <w:br/>
            </w:r>
            <w:r>
              <w:rPr>
                <w:rFonts w:ascii="Times New Roman"/>
                <w:b w:val="false"/>
                <w:i w:val="false"/>
                <w:color w:val="000000"/>
                <w:sz w:val="20"/>
              </w:rPr>
              <w:t>
</w:t>
            </w:r>
            <w:r>
              <w:rPr>
                <w:rFonts w:ascii="Times New Roman"/>
                <w:b w:val="false"/>
                <w:i w:val="false"/>
                <w:color w:val="000000"/>
                <w:sz w:val="20"/>
              </w:rPr>
              <w:t>операционали-</w:t>
            </w:r>
            <w:r>
              <w:br/>
            </w:r>
            <w:r>
              <w:rPr>
                <w:rFonts w:ascii="Times New Roman"/>
                <w:b w:val="false"/>
                <w:i w:val="false"/>
                <w:color w:val="000000"/>
                <w:sz w:val="20"/>
              </w:rPr>
              <w:t>
</w:t>
            </w:r>
            <w:r>
              <w:rPr>
                <w:rFonts w:ascii="Times New Roman"/>
                <w:b w:val="false"/>
                <w:i w:val="false"/>
                <w:color w:val="000000"/>
                <w:sz w:val="20"/>
              </w:rPr>
              <w:t>зации, как и</w:t>
            </w:r>
            <w:r>
              <w:br/>
            </w:r>
            <w:r>
              <w:rPr>
                <w:rFonts w:ascii="Times New Roman"/>
                <w:b w:val="false"/>
                <w:i w:val="false"/>
                <w:color w:val="000000"/>
                <w:sz w:val="20"/>
              </w:rPr>
              <w:t>
</w:t>
            </w:r>
            <w:r>
              <w:rPr>
                <w:rFonts w:ascii="Times New Roman"/>
                <w:b w:val="false"/>
                <w:i w:val="false"/>
                <w:color w:val="000000"/>
                <w:sz w:val="20"/>
              </w:rPr>
              <w:t>определения</w:t>
            </w:r>
            <w:r>
              <w:br/>
            </w:r>
            <w:r>
              <w:rPr>
                <w:rFonts w:ascii="Times New Roman"/>
                <w:b w:val="false"/>
                <w:i w:val="false"/>
                <w:color w:val="000000"/>
                <w:sz w:val="20"/>
              </w:rPr>
              <w:t>
</w:t>
            </w:r>
            <w:r>
              <w:rPr>
                <w:rFonts w:ascii="Times New Roman"/>
                <w:b w:val="false"/>
                <w:i w:val="false"/>
                <w:color w:val="000000"/>
                <w:sz w:val="20"/>
              </w:rPr>
              <w:t>услуг, которые</w:t>
            </w:r>
            <w:r>
              <w:br/>
            </w:r>
            <w:r>
              <w:rPr>
                <w:rFonts w:ascii="Times New Roman"/>
                <w:b w:val="false"/>
                <w:i w:val="false"/>
                <w:color w:val="000000"/>
                <w:sz w:val="20"/>
              </w:rPr>
              <w:t>
</w:t>
            </w:r>
            <w:r>
              <w:rPr>
                <w:rFonts w:ascii="Times New Roman"/>
                <w:b w:val="false"/>
                <w:i w:val="false"/>
                <w:color w:val="000000"/>
                <w:sz w:val="20"/>
              </w:rPr>
              <w:t>он</w:t>
            </w:r>
            <w:r>
              <w:br/>
            </w:r>
            <w:r>
              <w:rPr>
                <w:rFonts w:ascii="Times New Roman"/>
                <w:b w:val="false"/>
                <w:i w:val="false"/>
                <w:color w:val="000000"/>
                <w:sz w:val="20"/>
              </w:rPr>
              <w:t>
</w:t>
            </w:r>
            <w:r>
              <w:rPr>
                <w:rFonts w:ascii="Times New Roman"/>
                <w:b w:val="false"/>
                <w:i w:val="false"/>
                <w:color w:val="000000"/>
                <w:sz w:val="20"/>
              </w:rPr>
              <w:t>предоставляет.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3 плюс</w:t>
            </w:r>
            <w:r>
              <w:br/>
            </w:r>
            <w:r>
              <w:rPr>
                <w:rFonts w:ascii="Times New Roman"/>
                <w:b w:val="false"/>
                <w:i w:val="false"/>
                <w:color w:val="000000"/>
                <w:sz w:val="20"/>
              </w:rPr>
              <w:t>
</w:t>
            </w:r>
            <w:r>
              <w:rPr>
                <w:rFonts w:ascii="Times New Roman"/>
                <w:b w:val="false"/>
                <w:i w:val="false"/>
                <w:color w:val="000000"/>
                <w:sz w:val="20"/>
              </w:rPr>
              <w:t>план СОИ</w:t>
            </w:r>
            <w:r>
              <w:br/>
            </w:r>
            <w:r>
              <w:rPr>
                <w:rFonts w:ascii="Times New Roman"/>
                <w:b w:val="false"/>
                <w:i w:val="false"/>
                <w:color w:val="000000"/>
                <w:sz w:val="20"/>
              </w:rPr>
              <w:t>
</w:t>
            </w:r>
            <w:r>
              <w:rPr>
                <w:rFonts w:ascii="Times New Roman"/>
                <w:b w:val="false"/>
                <w:i w:val="false"/>
                <w:color w:val="000000"/>
                <w:sz w:val="20"/>
              </w:rPr>
              <w:t>содержит схему</w:t>
            </w:r>
            <w:r>
              <w:br/>
            </w:r>
            <w:r>
              <w:rPr>
                <w:rFonts w:ascii="Times New Roman"/>
                <w:b w:val="false"/>
                <w:i w:val="false"/>
                <w:color w:val="000000"/>
                <w:sz w:val="20"/>
              </w:rPr>
              <w:t>
</w:t>
            </w:r>
            <w:r>
              <w:rPr>
                <w:rFonts w:ascii="Times New Roman"/>
                <w:b w:val="false"/>
                <w:i w:val="false"/>
                <w:color w:val="000000"/>
                <w:sz w:val="20"/>
              </w:rPr>
              <w:t>организационной</w:t>
            </w:r>
            <w:r>
              <w:br/>
            </w:r>
            <w:r>
              <w:rPr>
                <w:rFonts w:ascii="Times New Roman"/>
                <w:b w:val="false"/>
                <w:i w:val="false"/>
                <w:color w:val="000000"/>
                <w:sz w:val="20"/>
              </w:rPr>
              <w:t>
</w:t>
            </w:r>
            <w:r>
              <w:rPr>
                <w:rFonts w:ascii="Times New Roman"/>
                <w:b w:val="false"/>
                <w:i w:val="false"/>
                <w:color w:val="000000"/>
                <w:sz w:val="20"/>
              </w:rPr>
              <w:t>структуры для</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приоритетов и</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целей.</w:t>
            </w:r>
            <w:r>
              <w:br/>
            </w:r>
            <w:r>
              <w:rPr>
                <w:rFonts w:ascii="Times New Roman"/>
                <w:b w:val="false"/>
                <w:i w:val="false"/>
                <w:color w:val="000000"/>
                <w:sz w:val="20"/>
              </w:rPr>
              <w:t>
</w:t>
            </w:r>
            <w:r>
              <w:rPr>
                <w:rFonts w:ascii="Times New Roman"/>
                <w:b w:val="false"/>
                <w:i w:val="false"/>
                <w:color w:val="000000"/>
                <w:sz w:val="20"/>
              </w:rPr>
              <w:t>Организационная</w:t>
            </w:r>
            <w:r>
              <w:br/>
            </w:r>
            <w:r>
              <w:rPr>
                <w:rFonts w:ascii="Times New Roman"/>
                <w:b w:val="false"/>
                <w:i w:val="false"/>
                <w:color w:val="000000"/>
                <w:sz w:val="20"/>
              </w:rPr>
              <w:t>
</w:t>
            </w:r>
            <w:r>
              <w:rPr>
                <w:rFonts w:ascii="Times New Roman"/>
                <w:b w:val="false"/>
                <w:i w:val="false"/>
                <w:color w:val="000000"/>
                <w:sz w:val="20"/>
              </w:rPr>
              <w:t>структура</w:t>
            </w:r>
            <w:r>
              <w:br/>
            </w:r>
            <w:r>
              <w:rPr>
                <w:rFonts w:ascii="Times New Roman"/>
                <w:b w:val="false"/>
                <w:i w:val="false"/>
                <w:color w:val="000000"/>
                <w:sz w:val="20"/>
              </w:rPr>
              <w:t>
</w:t>
            </w:r>
            <w:r>
              <w:rPr>
                <w:rFonts w:ascii="Times New Roman"/>
                <w:b w:val="false"/>
                <w:i w:val="false"/>
                <w:color w:val="000000"/>
                <w:sz w:val="20"/>
              </w:rPr>
              <w:t>содержит</w:t>
            </w:r>
            <w:r>
              <w:br/>
            </w:r>
            <w:r>
              <w:rPr>
                <w:rFonts w:ascii="Times New Roman"/>
                <w:b w:val="false"/>
                <w:i w:val="false"/>
                <w:color w:val="000000"/>
                <w:sz w:val="20"/>
              </w:rPr>
              <w:t>
</w:t>
            </w: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обязанностей от</w:t>
            </w:r>
            <w:r>
              <w:br/>
            </w:r>
            <w:r>
              <w:rPr>
                <w:rFonts w:ascii="Times New Roman"/>
                <w:b w:val="false"/>
                <w:i w:val="false"/>
                <w:color w:val="000000"/>
                <w:sz w:val="20"/>
              </w:rPr>
              <w:t>
</w:t>
            </w:r>
            <w:r>
              <w:rPr>
                <w:rFonts w:ascii="Times New Roman"/>
                <w:b w:val="false"/>
                <w:i w:val="false"/>
                <w:color w:val="000000"/>
                <w:sz w:val="20"/>
              </w:rPr>
              <w:t>высшего</w:t>
            </w:r>
            <w:r>
              <w:br/>
            </w:r>
            <w:r>
              <w:rPr>
                <w:rFonts w:ascii="Times New Roman"/>
                <w:b w:val="false"/>
                <w:i w:val="false"/>
                <w:color w:val="000000"/>
                <w:sz w:val="20"/>
              </w:rPr>
              <w:t>
</w:t>
            </w:r>
            <w:r>
              <w:rPr>
                <w:rFonts w:ascii="Times New Roman"/>
                <w:b w:val="false"/>
                <w:i w:val="false"/>
                <w:color w:val="000000"/>
                <w:sz w:val="20"/>
              </w:rPr>
              <w:t>руководства до</w:t>
            </w:r>
            <w:r>
              <w:br/>
            </w:r>
            <w:r>
              <w:rPr>
                <w:rFonts w:ascii="Times New Roman"/>
                <w:b w:val="false"/>
                <w:i w:val="false"/>
                <w:color w:val="000000"/>
                <w:sz w:val="20"/>
              </w:rPr>
              <w:t>
</w:t>
            </w:r>
            <w:r>
              <w:rPr>
                <w:rFonts w:ascii="Times New Roman"/>
                <w:b w:val="false"/>
                <w:i w:val="false"/>
                <w:color w:val="000000"/>
                <w:sz w:val="20"/>
              </w:rPr>
              <w:t>отдела по</w:t>
            </w:r>
            <w:r>
              <w:br/>
            </w:r>
            <w:r>
              <w:rPr>
                <w:rFonts w:ascii="Times New Roman"/>
                <w:b w:val="false"/>
                <w:i w:val="false"/>
                <w:color w:val="000000"/>
                <w:sz w:val="20"/>
              </w:rPr>
              <w:t>
</w:t>
            </w:r>
            <w:r>
              <w:rPr>
                <w:rFonts w:ascii="Times New Roman"/>
                <w:b w:val="false"/>
                <w:i w:val="false"/>
                <w:color w:val="000000"/>
                <w:sz w:val="20"/>
              </w:rPr>
              <w:t>внедрению.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4 плюс</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предоставляет</w:t>
            </w:r>
            <w:r>
              <w:br/>
            </w:r>
            <w:r>
              <w:rPr>
                <w:rFonts w:ascii="Times New Roman"/>
                <w:b w:val="false"/>
                <w:i w:val="false"/>
                <w:color w:val="000000"/>
                <w:sz w:val="20"/>
              </w:rPr>
              <w:t>
</w:t>
            </w:r>
            <w:r>
              <w:rPr>
                <w:rFonts w:ascii="Times New Roman"/>
                <w:b w:val="false"/>
                <w:i w:val="false"/>
                <w:color w:val="000000"/>
                <w:sz w:val="20"/>
              </w:rPr>
              <w:t>детали о</w:t>
            </w:r>
            <w:r>
              <w:br/>
            </w:r>
            <w:r>
              <w:rPr>
                <w:rFonts w:ascii="Times New Roman"/>
                <w:b w:val="false"/>
                <w:i w:val="false"/>
                <w:color w:val="000000"/>
                <w:sz w:val="20"/>
              </w:rPr>
              <w:t>
</w:t>
            </w:r>
            <w:r>
              <w:rPr>
                <w:rFonts w:ascii="Times New Roman"/>
                <w:b w:val="false"/>
                <w:i w:val="false"/>
                <w:color w:val="000000"/>
                <w:sz w:val="20"/>
              </w:rPr>
              <w:t>конкретных</w:t>
            </w:r>
            <w:r>
              <w:br/>
            </w:r>
            <w:r>
              <w:rPr>
                <w:rFonts w:ascii="Times New Roman"/>
                <w:b w:val="false"/>
                <w:i w:val="false"/>
                <w:color w:val="000000"/>
                <w:sz w:val="20"/>
              </w:rPr>
              <w:t>
</w:t>
            </w:r>
            <w:r>
              <w:rPr>
                <w:rFonts w:ascii="Times New Roman"/>
                <w:b w:val="false"/>
                <w:i w:val="false"/>
                <w:color w:val="000000"/>
                <w:sz w:val="20"/>
              </w:rPr>
              <w:t>потребностях в</w:t>
            </w:r>
            <w:r>
              <w:br/>
            </w:r>
            <w:r>
              <w:rPr>
                <w:rFonts w:ascii="Times New Roman"/>
                <w:b w:val="false"/>
                <w:i w:val="false"/>
                <w:color w:val="000000"/>
                <w:sz w:val="20"/>
              </w:rPr>
              <w:t>
</w:t>
            </w:r>
            <w:r>
              <w:rPr>
                <w:rFonts w:ascii="Times New Roman"/>
                <w:b w:val="false"/>
                <w:i w:val="false"/>
                <w:color w:val="000000"/>
                <w:sz w:val="20"/>
              </w:rPr>
              <w:t>персонале и</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нуждах. План</w:t>
            </w:r>
            <w:r>
              <w:br/>
            </w:r>
            <w:r>
              <w:rPr>
                <w:rFonts w:ascii="Times New Roman"/>
                <w:b w:val="false"/>
                <w:i w:val="false"/>
                <w:color w:val="000000"/>
                <w:sz w:val="20"/>
              </w:rPr>
              <w:t>
</w:t>
            </w:r>
            <w:r>
              <w:rPr>
                <w:rFonts w:ascii="Times New Roman"/>
                <w:b w:val="false"/>
                <w:i w:val="false"/>
                <w:color w:val="000000"/>
                <w:sz w:val="20"/>
              </w:rPr>
              <w:t>содержит</w:t>
            </w:r>
            <w:r>
              <w:br/>
            </w:r>
            <w:r>
              <w:rPr>
                <w:rFonts w:ascii="Times New Roman"/>
                <w:b w:val="false"/>
                <w:i w:val="false"/>
                <w:color w:val="000000"/>
                <w:sz w:val="20"/>
              </w:rPr>
              <w:t>
</w:t>
            </w:r>
            <w:r>
              <w:rPr>
                <w:rFonts w:ascii="Times New Roman"/>
                <w:b w:val="false"/>
                <w:i w:val="false"/>
                <w:color w:val="000000"/>
                <w:sz w:val="20"/>
              </w:rPr>
              <w:t>временной</w:t>
            </w:r>
            <w:r>
              <w:br/>
            </w:r>
            <w:r>
              <w:rPr>
                <w:rFonts w:ascii="Times New Roman"/>
                <w:b w:val="false"/>
                <w:i w:val="false"/>
                <w:color w:val="000000"/>
                <w:sz w:val="20"/>
              </w:rPr>
              <w:t>
</w:t>
            </w:r>
            <w:r>
              <w:rPr>
                <w:rFonts w:ascii="Times New Roman"/>
                <w:b w:val="false"/>
                <w:i w:val="false"/>
                <w:color w:val="000000"/>
                <w:sz w:val="20"/>
              </w:rPr>
              <w:t>график для</w:t>
            </w:r>
          </w:p>
          <w:p>
            <w:pPr>
              <w:spacing w:after="20"/>
              <w:ind w:left="20"/>
              <w:jc w:val="both"/>
            </w:pPr>
            <w:r>
              <w:rPr>
                <w:rFonts w:ascii="Times New Roman"/>
                <w:b w:val="false"/>
                <w:i w:val="false"/>
                <w:color w:val="000000"/>
                <w:sz w:val="20"/>
              </w:rPr>
              <w:t>всестороннего</w:t>
            </w:r>
            <w:r>
              <w:br/>
            </w:r>
            <w:r>
              <w:rPr>
                <w:rFonts w:ascii="Times New Roman"/>
                <w:b w:val="false"/>
                <w:i w:val="false"/>
                <w:color w:val="000000"/>
                <w:sz w:val="20"/>
              </w:rPr>
              <w:t>
</w:t>
            </w:r>
            <w:r>
              <w:rPr>
                <w:rFonts w:ascii="Times New Roman"/>
                <w:b w:val="false"/>
                <w:i w:val="false"/>
                <w:color w:val="000000"/>
                <w:sz w:val="20"/>
              </w:rPr>
              <w:t>рассмотрения.</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w:t>
            </w:r>
            <w:r>
              <w:br/>
            </w:r>
            <w:r>
              <w:rPr>
                <w:rFonts w:ascii="Times New Roman"/>
                <w:b w:val="false"/>
                <w:i w:val="false"/>
                <w:color w:val="000000"/>
                <w:sz w:val="20"/>
              </w:rPr>
              <w:t>
</w:t>
            </w:r>
            <w:r>
              <w:rPr>
                <w:rFonts w:ascii="Times New Roman"/>
                <w:b w:val="false"/>
                <w:i w:val="false"/>
                <w:color w:val="000000"/>
                <w:sz w:val="20"/>
              </w:rPr>
              <w:t>циональ-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поддерж-</w:t>
            </w:r>
            <w:r>
              <w:br/>
            </w:r>
            <w:r>
              <w:rPr>
                <w:rFonts w:ascii="Times New Roman"/>
                <w:b w:val="false"/>
                <w:i w:val="false"/>
                <w:color w:val="000000"/>
                <w:sz w:val="20"/>
              </w:rPr>
              <w:t>
</w:t>
            </w:r>
            <w:r>
              <w:rPr>
                <w:rFonts w:ascii="Times New Roman"/>
                <w:b w:val="false"/>
                <w:i w:val="false"/>
                <w:color w:val="000000"/>
                <w:sz w:val="20"/>
              </w:rPr>
              <w:t>ка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по</w:t>
            </w:r>
            <w:r>
              <w:br/>
            </w:r>
            <w:r>
              <w:rPr>
                <w:rFonts w:ascii="Times New Roman"/>
                <w:b w:val="false"/>
                <w:i w:val="false"/>
                <w:color w:val="000000"/>
                <w:sz w:val="20"/>
              </w:rPr>
              <w:t>
</w:t>
            </w:r>
            <w:r>
              <w:rPr>
                <w:rFonts w:ascii="Times New Roman"/>
                <w:b w:val="false"/>
                <w:i w:val="false"/>
                <w:color w:val="000000"/>
                <w:sz w:val="20"/>
              </w:rPr>
              <w:t>стимулирова-</w:t>
            </w:r>
            <w:r>
              <w:br/>
            </w:r>
            <w:r>
              <w:rPr>
                <w:rFonts w:ascii="Times New Roman"/>
                <w:b w:val="false"/>
                <w:i w:val="false"/>
                <w:color w:val="000000"/>
                <w:sz w:val="20"/>
              </w:rPr>
              <w:t>
</w:t>
            </w:r>
            <w:r>
              <w:rPr>
                <w:rFonts w:ascii="Times New Roman"/>
                <w:b w:val="false"/>
                <w:i w:val="false"/>
                <w:color w:val="000000"/>
                <w:sz w:val="20"/>
              </w:rPr>
              <w:t>нию инвестиций</w:t>
            </w:r>
            <w:r>
              <w:br/>
            </w:r>
            <w:r>
              <w:rPr>
                <w:rFonts w:ascii="Times New Roman"/>
                <w:b w:val="false"/>
                <w:i w:val="false"/>
                <w:color w:val="000000"/>
                <w:sz w:val="20"/>
              </w:rPr>
              <w:t>
</w:t>
            </w:r>
            <w:r>
              <w:rPr>
                <w:rFonts w:ascii="Times New Roman"/>
                <w:b w:val="false"/>
                <w:i w:val="false"/>
                <w:color w:val="000000"/>
                <w:sz w:val="20"/>
              </w:rPr>
              <w:t>предприни-</w:t>
            </w:r>
            <w:r>
              <w:br/>
            </w:r>
            <w:r>
              <w:rPr>
                <w:rFonts w:ascii="Times New Roman"/>
                <w:b w:val="false"/>
                <w:i w:val="false"/>
                <w:color w:val="000000"/>
                <w:sz w:val="20"/>
              </w:rPr>
              <w:t>
</w:t>
            </w:r>
            <w:r>
              <w:rPr>
                <w:rFonts w:ascii="Times New Roman"/>
                <w:b w:val="false"/>
                <w:i w:val="false"/>
                <w:color w:val="000000"/>
                <w:sz w:val="20"/>
              </w:rPr>
              <w:t>маются</w:t>
            </w:r>
            <w:r>
              <w:br/>
            </w:r>
            <w:r>
              <w:rPr>
                <w:rFonts w:ascii="Times New Roman"/>
                <w:b w:val="false"/>
                <w:i w:val="false"/>
                <w:color w:val="000000"/>
                <w:sz w:val="20"/>
              </w:rPr>
              <w:t>
</w:t>
            </w:r>
            <w:r>
              <w:rPr>
                <w:rFonts w:ascii="Times New Roman"/>
                <w:b w:val="false"/>
                <w:i w:val="false"/>
                <w:color w:val="000000"/>
                <w:sz w:val="20"/>
              </w:rPr>
              <w:t>несогласованно</w:t>
            </w:r>
            <w:r>
              <w:br/>
            </w:r>
            <w:r>
              <w:rPr>
                <w:rFonts w:ascii="Times New Roman"/>
                <w:b w:val="false"/>
                <w:i w:val="false"/>
                <w:color w:val="000000"/>
                <w:sz w:val="20"/>
              </w:rPr>
              <w:t>
</w:t>
            </w:r>
            <w:r>
              <w:rPr>
                <w:rFonts w:ascii="Times New Roman"/>
                <w:b w:val="false"/>
                <w:i w:val="false"/>
                <w:color w:val="000000"/>
                <w:sz w:val="20"/>
              </w:rPr>
              <w:t>во всем</w:t>
            </w:r>
            <w:r>
              <w:br/>
            </w:r>
            <w:r>
              <w:rPr>
                <w:rFonts w:ascii="Times New Roman"/>
                <w:b w:val="false"/>
                <w:i w:val="false"/>
                <w:color w:val="000000"/>
                <w:sz w:val="20"/>
              </w:rPr>
              <w:t>
</w:t>
            </w:r>
            <w:r>
              <w:rPr>
                <w:rFonts w:ascii="Times New Roman"/>
                <w:b w:val="false"/>
                <w:i w:val="false"/>
                <w:color w:val="000000"/>
                <w:sz w:val="20"/>
              </w:rPr>
              <w:t>регионе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w:t>
            </w:r>
            <w:r>
              <w:br/>
            </w:r>
            <w:r>
              <w:rPr>
                <w:rFonts w:ascii="Times New Roman"/>
                <w:b w:val="false"/>
                <w:i w:val="false"/>
                <w:color w:val="000000"/>
                <w:sz w:val="20"/>
              </w:rPr>
              <w:t>
</w:t>
            </w:r>
            <w:r>
              <w:rPr>
                <w:rFonts w:ascii="Times New Roman"/>
                <w:b w:val="false"/>
                <w:i w:val="false"/>
                <w:color w:val="000000"/>
                <w:sz w:val="20"/>
              </w:rPr>
              <w:t>создает</w:t>
            </w:r>
            <w:r>
              <w:br/>
            </w:r>
            <w:r>
              <w:rPr>
                <w:rFonts w:ascii="Times New Roman"/>
                <w:b w:val="false"/>
                <w:i w:val="false"/>
                <w:color w:val="000000"/>
                <w:sz w:val="20"/>
              </w:rPr>
              <w:t>
</w:t>
            </w: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продвиже-</w:t>
            </w:r>
            <w:r>
              <w:br/>
            </w:r>
            <w:r>
              <w:rPr>
                <w:rFonts w:ascii="Times New Roman"/>
                <w:b w:val="false"/>
                <w:i w:val="false"/>
                <w:color w:val="000000"/>
                <w:sz w:val="20"/>
              </w:rPr>
              <w:t>
</w:t>
            </w:r>
            <w:r>
              <w:rPr>
                <w:rFonts w:ascii="Times New Roman"/>
                <w:b w:val="false"/>
                <w:i w:val="false"/>
                <w:color w:val="000000"/>
                <w:sz w:val="20"/>
              </w:rPr>
              <w:t>нию</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Принято</w:t>
            </w:r>
            <w:r>
              <w:br/>
            </w:r>
            <w:r>
              <w:rPr>
                <w:rFonts w:ascii="Times New Roman"/>
                <w:b w:val="false"/>
                <w:i w:val="false"/>
                <w:color w:val="000000"/>
                <w:sz w:val="20"/>
              </w:rPr>
              <w:t>
</w:t>
            </w:r>
            <w:r>
              <w:rPr>
                <w:rFonts w:ascii="Times New Roman"/>
                <w:b w:val="false"/>
                <w:i w:val="false"/>
                <w:color w:val="000000"/>
                <w:sz w:val="20"/>
              </w:rPr>
              <w:t>решение по</w:t>
            </w:r>
            <w:r>
              <w:br/>
            </w:r>
            <w:r>
              <w:rPr>
                <w:rFonts w:ascii="Times New Roman"/>
                <w:b w:val="false"/>
                <w:i w:val="false"/>
                <w:color w:val="000000"/>
                <w:sz w:val="20"/>
              </w:rPr>
              <w:t>
</w:t>
            </w:r>
            <w:r>
              <w:rPr>
                <w:rFonts w:ascii="Times New Roman"/>
                <w:b w:val="false"/>
                <w:i w:val="false"/>
                <w:color w:val="000000"/>
                <w:sz w:val="20"/>
              </w:rPr>
              <w:t>структуре</w:t>
            </w:r>
            <w:r>
              <w:br/>
            </w:r>
            <w:r>
              <w:rPr>
                <w:rFonts w:ascii="Times New Roman"/>
                <w:b w:val="false"/>
                <w:i w:val="false"/>
                <w:color w:val="000000"/>
                <w:sz w:val="20"/>
              </w:rPr>
              <w:t>
</w:t>
            </w:r>
            <w:r>
              <w:rPr>
                <w:rFonts w:ascii="Times New Roman"/>
                <w:b w:val="false"/>
                <w:i w:val="false"/>
                <w:color w:val="000000"/>
                <w:sz w:val="20"/>
              </w:rPr>
              <w:t>отдела, он</w:t>
            </w:r>
            <w:r>
              <w:br/>
            </w:r>
            <w:r>
              <w:rPr>
                <w:rFonts w:ascii="Times New Roman"/>
                <w:b w:val="false"/>
                <w:i w:val="false"/>
                <w:color w:val="000000"/>
                <w:sz w:val="20"/>
              </w:rPr>
              <w:t>
</w:t>
            </w:r>
            <w:r>
              <w:rPr>
                <w:rFonts w:ascii="Times New Roman"/>
                <w:b w:val="false"/>
                <w:i w:val="false"/>
                <w:color w:val="000000"/>
                <w:sz w:val="20"/>
              </w:rPr>
              <w:t>получает</w:t>
            </w:r>
            <w:r>
              <w:br/>
            </w:r>
            <w:r>
              <w:rPr>
                <w:rFonts w:ascii="Times New Roman"/>
                <w:b w:val="false"/>
                <w:i w:val="false"/>
                <w:color w:val="000000"/>
                <w:sz w:val="20"/>
              </w:rPr>
              <w:t>
</w:t>
            </w:r>
            <w:r>
              <w:rPr>
                <w:rFonts w:ascii="Times New Roman"/>
                <w:b w:val="false"/>
                <w:i w:val="false"/>
                <w:color w:val="000000"/>
                <w:sz w:val="20"/>
              </w:rPr>
              <w:t>официаль-</w:t>
            </w:r>
            <w:r>
              <w:br/>
            </w:r>
            <w:r>
              <w:rPr>
                <w:rFonts w:ascii="Times New Roman"/>
                <w:b w:val="false"/>
                <w:i w:val="false"/>
                <w:color w:val="000000"/>
                <w:sz w:val="20"/>
              </w:rPr>
              <w:t>
</w:t>
            </w:r>
            <w:r>
              <w:rPr>
                <w:rFonts w:ascii="Times New Roman"/>
                <w:b w:val="false"/>
                <w:i w:val="false"/>
                <w:color w:val="000000"/>
                <w:sz w:val="20"/>
              </w:rPr>
              <w:t>ный мандат</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ность по</w:t>
            </w:r>
            <w:r>
              <w:br/>
            </w:r>
            <w:r>
              <w:rPr>
                <w:rFonts w:ascii="Times New Roman"/>
                <w:b w:val="false"/>
                <w:i w:val="false"/>
                <w:color w:val="000000"/>
                <w:sz w:val="20"/>
              </w:rPr>
              <w:t>
</w:t>
            </w:r>
            <w:r>
              <w:rPr>
                <w:rFonts w:ascii="Times New Roman"/>
                <w:b w:val="false"/>
                <w:i w:val="false"/>
                <w:color w:val="000000"/>
                <w:sz w:val="20"/>
              </w:rPr>
              <w:t>стимулиро-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инвестиций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2 плюс</w:t>
            </w:r>
            <w:r>
              <w:br/>
            </w:r>
            <w:r>
              <w:rPr>
                <w:rFonts w:ascii="Times New Roman"/>
                <w:b w:val="false"/>
                <w:i w:val="false"/>
                <w:color w:val="000000"/>
                <w:sz w:val="20"/>
              </w:rPr>
              <w:t>
</w:t>
            </w:r>
            <w:r>
              <w:rPr>
                <w:rFonts w:ascii="Times New Roman"/>
                <w:b w:val="false"/>
                <w:i w:val="false"/>
                <w:color w:val="000000"/>
                <w:sz w:val="20"/>
              </w:rPr>
              <w:t>внутренняя</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определены.</w:t>
            </w:r>
            <w:r>
              <w:br/>
            </w:r>
            <w:r>
              <w:rPr>
                <w:rFonts w:ascii="Times New Roman"/>
                <w:b w:val="false"/>
                <w:i w:val="false"/>
                <w:color w:val="000000"/>
                <w:sz w:val="20"/>
              </w:rPr>
              <w:t>
</w:t>
            </w: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укомплектован</w:t>
            </w:r>
            <w:r>
              <w:br/>
            </w:r>
            <w:r>
              <w:rPr>
                <w:rFonts w:ascii="Times New Roman"/>
                <w:b w:val="false"/>
                <w:i w:val="false"/>
                <w:color w:val="000000"/>
                <w:sz w:val="20"/>
              </w:rPr>
              <w:t>
</w:t>
            </w:r>
            <w:r>
              <w:rPr>
                <w:rFonts w:ascii="Times New Roman"/>
                <w:b w:val="false"/>
                <w:i w:val="false"/>
                <w:color w:val="000000"/>
                <w:sz w:val="20"/>
              </w:rPr>
              <w:t>персоналом из</w:t>
            </w:r>
            <w:r>
              <w:br/>
            </w:r>
            <w:r>
              <w:rPr>
                <w:rFonts w:ascii="Times New Roman"/>
                <w:b w:val="false"/>
                <w:i w:val="false"/>
                <w:color w:val="000000"/>
                <w:sz w:val="20"/>
              </w:rPr>
              <w:t>
</w:t>
            </w:r>
            <w:r>
              <w:rPr>
                <w:rFonts w:ascii="Times New Roman"/>
                <w:b w:val="false"/>
                <w:i w:val="false"/>
                <w:color w:val="000000"/>
                <w:sz w:val="20"/>
              </w:rPr>
              <w:t>частного и</w:t>
            </w:r>
            <w:r>
              <w:br/>
            </w:r>
            <w:r>
              <w:rPr>
                <w:rFonts w:ascii="Times New Roman"/>
                <w:b w:val="false"/>
                <w:i w:val="false"/>
                <w:color w:val="000000"/>
                <w:sz w:val="20"/>
              </w:rPr>
              <w:t>
</w:t>
            </w:r>
            <w:r>
              <w:rPr>
                <w:rFonts w:ascii="Times New Roman"/>
                <w:b w:val="false"/>
                <w:i w:val="false"/>
                <w:color w:val="000000"/>
                <w:sz w:val="20"/>
              </w:rPr>
              <w:t>публичного</w:t>
            </w:r>
            <w:r>
              <w:br/>
            </w:r>
            <w:r>
              <w:rPr>
                <w:rFonts w:ascii="Times New Roman"/>
                <w:b w:val="false"/>
                <w:i w:val="false"/>
                <w:color w:val="000000"/>
                <w:sz w:val="20"/>
              </w:rPr>
              <w:t>
</w:t>
            </w:r>
            <w:r>
              <w:rPr>
                <w:rFonts w:ascii="Times New Roman"/>
                <w:b w:val="false"/>
                <w:i w:val="false"/>
                <w:color w:val="000000"/>
                <w:sz w:val="20"/>
              </w:rPr>
              <w:t>секторов,</w:t>
            </w:r>
            <w:r>
              <w:br/>
            </w:r>
            <w:r>
              <w:rPr>
                <w:rFonts w:ascii="Times New Roman"/>
                <w:b w:val="false"/>
                <w:i w:val="false"/>
                <w:color w:val="000000"/>
                <w:sz w:val="20"/>
              </w:rPr>
              <w:t>
</w:t>
            </w:r>
            <w:r>
              <w:rPr>
                <w:rFonts w:ascii="Times New Roman"/>
                <w:b w:val="false"/>
                <w:i w:val="false"/>
                <w:color w:val="000000"/>
                <w:sz w:val="20"/>
              </w:rPr>
              <w:t>говорящим на</w:t>
            </w:r>
            <w:r>
              <w:br/>
            </w:r>
            <w:r>
              <w:rPr>
                <w:rFonts w:ascii="Times New Roman"/>
                <w:b w:val="false"/>
                <w:i w:val="false"/>
                <w:color w:val="000000"/>
                <w:sz w:val="20"/>
              </w:rPr>
              <w:t>
</w:t>
            </w:r>
            <w:r>
              <w:rPr>
                <w:rFonts w:ascii="Times New Roman"/>
                <w:b w:val="false"/>
                <w:i w:val="false"/>
                <w:color w:val="000000"/>
                <w:sz w:val="20"/>
              </w:rPr>
              <w:t>разных языках.</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3 плюс</w:t>
            </w:r>
            <w:r>
              <w:br/>
            </w:r>
            <w:r>
              <w:rPr>
                <w:rFonts w:ascii="Times New Roman"/>
                <w:b w:val="false"/>
                <w:i w:val="false"/>
                <w:color w:val="000000"/>
                <w:sz w:val="20"/>
              </w:rPr>
              <w:t>
</w:t>
            </w:r>
            <w:r>
              <w:rPr>
                <w:rFonts w:ascii="Times New Roman"/>
                <w:b w:val="false"/>
                <w:i w:val="false"/>
                <w:color w:val="000000"/>
                <w:sz w:val="20"/>
              </w:rPr>
              <w:t>отделу дается</w:t>
            </w:r>
            <w:r>
              <w:br/>
            </w:r>
            <w:r>
              <w:rPr>
                <w:rFonts w:ascii="Times New Roman"/>
                <w:b w:val="false"/>
                <w:i w:val="false"/>
                <w:color w:val="000000"/>
                <w:sz w:val="20"/>
              </w:rPr>
              <w:t>
</w:t>
            </w:r>
            <w:r>
              <w:rPr>
                <w:rFonts w:ascii="Times New Roman"/>
                <w:b w:val="false"/>
                <w:i w:val="false"/>
                <w:color w:val="000000"/>
                <w:sz w:val="20"/>
              </w:rPr>
              <w:t>годовой бюджет</w:t>
            </w:r>
            <w:r>
              <w:br/>
            </w:r>
            <w:r>
              <w:rPr>
                <w:rFonts w:ascii="Times New Roman"/>
                <w:b w:val="false"/>
                <w:i w:val="false"/>
                <w:color w:val="000000"/>
                <w:sz w:val="20"/>
              </w:rPr>
              <w:t>
</w:t>
            </w:r>
            <w:r>
              <w:rPr>
                <w:rFonts w:ascii="Times New Roman"/>
                <w:b w:val="false"/>
                <w:i w:val="false"/>
                <w:color w:val="000000"/>
                <w:sz w:val="20"/>
              </w:rPr>
              <w:t>для покрытия,</w:t>
            </w:r>
            <w:r>
              <w:br/>
            </w:r>
            <w:r>
              <w:rPr>
                <w:rFonts w:ascii="Times New Roman"/>
                <w:b w:val="false"/>
                <w:i w:val="false"/>
                <w:color w:val="000000"/>
                <w:sz w:val="20"/>
              </w:rPr>
              <w:t>
</w:t>
            </w:r>
            <w:r>
              <w:rPr>
                <w:rFonts w:ascii="Times New Roman"/>
                <w:b w:val="false"/>
                <w:i w:val="false"/>
                <w:color w:val="000000"/>
                <w:sz w:val="20"/>
              </w:rPr>
              <w:t>кроме прочего,</w:t>
            </w:r>
            <w:r>
              <w:br/>
            </w:r>
            <w:r>
              <w:rPr>
                <w:rFonts w:ascii="Times New Roman"/>
                <w:b w:val="false"/>
                <w:i w:val="false"/>
                <w:color w:val="000000"/>
                <w:sz w:val="20"/>
              </w:rPr>
              <w:t>
</w:t>
            </w:r>
            <w:r>
              <w:rPr>
                <w:rFonts w:ascii="Times New Roman"/>
                <w:b w:val="false"/>
                <w:i w:val="false"/>
                <w:color w:val="000000"/>
                <w:sz w:val="20"/>
              </w:rPr>
              <w:t>накладных</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зарплат всех</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дорожных</w:t>
            </w:r>
            <w:r>
              <w:br/>
            </w:r>
            <w:r>
              <w:rPr>
                <w:rFonts w:ascii="Times New Roman"/>
                <w:b w:val="false"/>
                <w:i w:val="false"/>
                <w:color w:val="000000"/>
                <w:sz w:val="20"/>
              </w:rPr>
              <w:t>
</w:t>
            </w:r>
            <w:r>
              <w:rPr>
                <w:rFonts w:ascii="Times New Roman"/>
                <w:b w:val="false"/>
                <w:i w:val="false"/>
                <w:color w:val="000000"/>
                <w:sz w:val="20"/>
              </w:rPr>
              <w:t>расходов, ИТ, и</w:t>
            </w:r>
            <w:r>
              <w:br/>
            </w:r>
            <w:r>
              <w:rPr>
                <w:rFonts w:ascii="Times New Roman"/>
                <w:b w:val="false"/>
                <w:i w:val="false"/>
                <w:color w:val="000000"/>
                <w:sz w:val="20"/>
              </w:rPr>
              <w:t>
</w:t>
            </w:r>
            <w:r>
              <w:rPr>
                <w:rFonts w:ascii="Times New Roman"/>
                <w:b w:val="false"/>
                <w:i w:val="false"/>
                <w:color w:val="000000"/>
                <w:sz w:val="20"/>
              </w:rPr>
              <w:t>т.д.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4 плюс</w:t>
            </w:r>
            <w:r>
              <w:br/>
            </w:r>
            <w:r>
              <w:rPr>
                <w:rFonts w:ascii="Times New Roman"/>
                <w:b w:val="false"/>
                <w:i w:val="false"/>
                <w:color w:val="000000"/>
                <w:sz w:val="20"/>
              </w:rPr>
              <w:t>
</w:t>
            </w:r>
            <w:r>
              <w:rPr>
                <w:rFonts w:ascii="Times New Roman"/>
                <w:b w:val="false"/>
                <w:i w:val="false"/>
                <w:color w:val="000000"/>
                <w:sz w:val="20"/>
              </w:rPr>
              <w:t>у отдела</w:t>
            </w:r>
            <w:r>
              <w:br/>
            </w:r>
            <w:r>
              <w:rPr>
                <w:rFonts w:ascii="Times New Roman"/>
                <w:b w:val="false"/>
                <w:i w:val="false"/>
                <w:color w:val="000000"/>
                <w:sz w:val="20"/>
              </w:rPr>
              <w:t>
</w:t>
            </w:r>
            <w:r>
              <w:rPr>
                <w:rFonts w:ascii="Times New Roman"/>
                <w:b w:val="false"/>
                <w:i w:val="false"/>
                <w:color w:val="000000"/>
                <w:sz w:val="20"/>
              </w:rPr>
              <w:t>имеется</w:t>
            </w:r>
            <w:r>
              <w:br/>
            </w:r>
            <w:r>
              <w:rPr>
                <w:rFonts w:ascii="Times New Roman"/>
                <w:b w:val="false"/>
                <w:i w:val="false"/>
                <w:color w:val="000000"/>
                <w:sz w:val="20"/>
              </w:rPr>
              <w:t>
</w:t>
            </w:r>
            <w:r>
              <w:rPr>
                <w:rFonts w:ascii="Times New Roman"/>
                <w:b w:val="false"/>
                <w:i w:val="false"/>
                <w:color w:val="000000"/>
                <w:sz w:val="20"/>
              </w:rPr>
              <w:t>механизм</w:t>
            </w:r>
            <w:r>
              <w:br/>
            </w:r>
            <w:r>
              <w:rPr>
                <w:rFonts w:ascii="Times New Roman"/>
                <w:b w:val="false"/>
                <w:i w:val="false"/>
                <w:color w:val="000000"/>
                <w:sz w:val="20"/>
              </w:rPr>
              <w:t>
</w:t>
            </w:r>
            <w:r>
              <w:rPr>
                <w:rFonts w:ascii="Times New Roman"/>
                <w:b w:val="false"/>
                <w:i w:val="false"/>
                <w:color w:val="000000"/>
                <w:sz w:val="20"/>
              </w:rPr>
              <w:t>внутреннего планирования,</w:t>
            </w:r>
            <w:r>
              <w:br/>
            </w:r>
            <w:r>
              <w:rPr>
                <w:rFonts w:ascii="Times New Roman"/>
                <w:b w:val="false"/>
                <w:i w:val="false"/>
                <w:color w:val="000000"/>
                <w:sz w:val="20"/>
              </w:rPr>
              <w:t>
</w:t>
            </w:r>
            <w:r>
              <w:rPr>
                <w:rFonts w:ascii="Times New Roman"/>
                <w:b w:val="false"/>
                <w:i w:val="false"/>
                <w:color w:val="000000"/>
                <w:sz w:val="20"/>
              </w:rPr>
              <w:t>поддерживающий</w:t>
            </w:r>
            <w:r>
              <w:br/>
            </w:r>
            <w:r>
              <w:rPr>
                <w:rFonts w:ascii="Times New Roman"/>
                <w:b w:val="false"/>
                <w:i w:val="false"/>
                <w:color w:val="000000"/>
                <w:sz w:val="20"/>
              </w:rPr>
              <w:t>
</w:t>
            </w:r>
            <w:r>
              <w:rPr>
                <w:rFonts w:ascii="Times New Roman"/>
                <w:b w:val="false"/>
                <w:i w:val="false"/>
                <w:color w:val="000000"/>
                <w:sz w:val="20"/>
              </w:rPr>
              <w:t>рабочую</w:t>
            </w:r>
            <w:r>
              <w:br/>
            </w:r>
            <w:r>
              <w:rPr>
                <w:rFonts w:ascii="Times New Roman"/>
                <w:b w:val="false"/>
                <w:i w:val="false"/>
                <w:color w:val="000000"/>
                <w:sz w:val="20"/>
              </w:rPr>
              <w:t>
</w:t>
            </w:r>
            <w:r>
              <w:rPr>
                <w:rFonts w:ascii="Times New Roman"/>
                <w:b w:val="false"/>
                <w:i w:val="false"/>
                <w:color w:val="000000"/>
                <w:sz w:val="20"/>
              </w:rPr>
              <w:t>эффективность</w:t>
            </w:r>
            <w:r>
              <w:br/>
            </w:r>
            <w:r>
              <w:rPr>
                <w:rFonts w:ascii="Times New Roman"/>
                <w:b w:val="false"/>
                <w:i w:val="false"/>
                <w:color w:val="000000"/>
                <w:sz w:val="20"/>
              </w:rPr>
              <w:t>
</w:t>
            </w:r>
            <w:r>
              <w:rPr>
                <w:rFonts w:ascii="Times New Roman"/>
                <w:b w:val="false"/>
                <w:i w:val="false"/>
                <w:color w:val="000000"/>
                <w:sz w:val="20"/>
              </w:rPr>
              <w:t>отдела.</w:t>
            </w:r>
            <w:r>
              <w:br/>
            </w:r>
            <w:r>
              <w:rPr>
                <w:rFonts w:ascii="Times New Roman"/>
                <w:b w:val="false"/>
                <w:i w:val="false"/>
                <w:color w:val="000000"/>
                <w:sz w:val="20"/>
              </w:rPr>
              <w:t>
</w:t>
            </w:r>
            <w:r>
              <w:rPr>
                <w:rFonts w:ascii="Times New Roman"/>
                <w:b w:val="false"/>
                <w:i w:val="false"/>
                <w:color w:val="000000"/>
                <w:sz w:val="20"/>
              </w:rPr>
              <w:t>Механизм</w:t>
            </w:r>
            <w:r>
              <w:br/>
            </w:r>
            <w:r>
              <w:rPr>
                <w:rFonts w:ascii="Times New Roman"/>
                <w:b w:val="false"/>
                <w:i w:val="false"/>
                <w:color w:val="000000"/>
                <w:sz w:val="20"/>
              </w:rPr>
              <w:t>
</w:t>
            </w:r>
            <w:r>
              <w:rPr>
                <w:rFonts w:ascii="Times New Roman"/>
                <w:b w:val="false"/>
                <w:i w:val="false"/>
                <w:color w:val="000000"/>
                <w:sz w:val="20"/>
              </w:rPr>
              <w:t>состоит из</w:t>
            </w:r>
            <w:r>
              <w:br/>
            </w:r>
            <w:r>
              <w:rPr>
                <w:rFonts w:ascii="Times New Roman"/>
                <w:b w:val="false"/>
                <w:i w:val="false"/>
                <w:color w:val="000000"/>
                <w:sz w:val="20"/>
              </w:rPr>
              <w:t>
</w:t>
            </w:r>
            <w:r>
              <w:rPr>
                <w:rFonts w:ascii="Times New Roman"/>
                <w:b w:val="false"/>
                <w:i w:val="false"/>
                <w:color w:val="000000"/>
                <w:sz w:val="20"/>
              </w:rPr>
              <w:t>календаря</w:t>
            </w:r>
            <w:r>
              <w:br/>
            </w:r>
            <w:r>
              <w:rPr>
                <w:rFonts w:ascii="Times New Roman"/>
                <w:b w:val="false"/>
                <w:i w:val="false"/>
                <w:color w:val="000000"/>
                <w:sz w:val="20"/>
              </w:rPr>
              <w:t>
</w:t>
            </w:r>
            <w:r>
              <w:rPr>
                <w:rFonts w:ascii="Times New Roman"/>
                <w:b w:val="false"/>
                <w:i w:val="false"/>
                <w:color w:val="000000"/>
                <w:sz w:val="20"/>
              </w:rPr>
              <w:t>событий и</w:t>
            </w:r>
            <w:r>
              <w:br/>
            </w:r>
            <w:r>
              <w:rPr>
                <w:rFonts w:ascii="Times New Roman"/>
                <w:b w:val="false"/>
                <w:i w:val="false"/>
                <w:color w:val="000000"/>
                <w:sz w:val="20"/>
              </w:rPr>
              <w:t>
</w:t>
            </w:r>
            <w:r>
              <w:rPr>
                <w:rFonts w:ascii="Times New Roman"/>
                <w:b w:val="false"/>
                <w:i w:val="false"/>
                <w:color w:val="000000"/>
                <w:sz w:val="20"/>
              </w:rPr>
              <w:t>сроков</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механизмов</w:t>
            </w:r>
            <w:r>
              <w:br/>
            </w:r>
            <w:r>
              <w:rPr>
                <w:rFonts w:ascii="Times New Roman"/>
                <w:b w:val="false"/>
                <w:i w:val="false"/>
                <w:color w:val="000000"/>
                <w:sz w:val="20"/>
              </w:rPr>
              <w:t>
</w:t>
            </w:r>
            <w:r>
              <w:rPr>
                <w:rFonts w:ascii="Times New Roman"/>
                <w:b w:val="false"/>
                <w:i w:val="false"/>
                <w:color w:val="000000"/>
                <w:sz w:val="20"/>
              </w:rPr>
              <w:t>статистичес-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отслеживания,</w:t>
            </w:r>
            <w:r>
              <w:br/>
            </w:r>
            <w:r>
              <w:rPr>
                <w:rFonts w:ascii="Times New Roman"/>
                <w:b w:val="false"/>
                <w:i w:val="false"/>
                <w:color w:val="000000"/>
                <w:sz w:val="20"/>
              </w:rPr>
              <w:t>
</w:t>
            </w:r>
            <w:r>
              <w:rPr>
                <w:rFonts w:ascii="Times New Roman"/>
                <w:b w:val="false"/>
                <w:i w:val="false"/>
                <w:color w:val="000000"/>
                <w:sz w:val="20"/>
              </w:rPr>
              <w:t>внутренних</w:t>
            </w:r>
            <w:r>
              <w:br/>
            </w:r>
            <w:r>
              <w:rPr>
                <w:rFonts w:ascii="Times New Roman"/>
                <w:b w:val="false"/>
                <w:i w:val="false"/>
                <w:color w:val="000000"/>
                <w:sz w:val="20"/>
              </w:rPr>
              <w:t>
</w:t>
            </w:r>
            <w:r>
              <w:rPr>
                <w:rFonts w:ascii="Times New Roman"/>
                <w:b w:val="false"/>
                <w:i w:val="false"/>
                <w:color w:val="000000"/>
                <w:sz w:val="20"/>
              </w:rPr>
              <w:t>правил и</w:t>
            </w:r>
            <w:r>
              <w:br/>
            </w:r>
            <w:r>
              <w:rPr>
                <w:rFonts w:ascii="Times New Roman"/>
                <w:b w:val="false"/>
                <w:i w:val="false"/>
                <w:color w:val="000000"/>
                <w:sz w:val="20"/>
              </w:rPr>
              <w:t>
</w:t>
            </w:r>
            <w:r>
              <w:rPr>
                <w:rFonts w:ascii="Times New Roman"/>
                <w:b w:val="false"/>
                <w:i w:val="false"/>
                <w:color w:val="000000"/>
                <w:sz w:val="20"/>
              </w:rPr>
              <w:t>процедур для</w:t>
            </w:r>
            <w:r>
              <w:br/>
            </w:r>
            <w:r>
              <w:rPr>
                <w:rFonts w:ascii="Times New Roman"/>
                <w:b w:val="false"/>
                <w:i w:val="false"/>
                <w:color w:val="000000"/>
                <w:sz w:val="20"/>
              </w:rPr>
              <w:t>
</w:t>
            </w:r>
            <w:r>
              <w:rPr>
                <w:rFonts w:ascii="Times New Roman"/>
                <w:b w:val="false"/>
                <w:i w:val="false"/>
                <w:color w:val="000000"/>
                <w:sz w:val="20"/>
              </w:rPr>
              <w:t>персонала, и</w:t>
            </w:r>
            <w:r>
              <w:br/>
            </w:r>
            <w:r>
              <w:rPr>
                <w:rFonts w:ascii="Times New Roman"/>
                <w:b w:val="false"/>
                <w:i w:val="false"/>
                <w:color w:val="000000"/>
                <w:sz w:val="20"/>
              </w:rPr>
              <w:t>
</w:t>
            </w:r>
            <w:r>
              <w:rPr>
                <w:rFonts w:ascii="Times New Roman"/>
                <w:b w:val="false"/>
                <w:i w:val="false"/>
                <w:color w:val="000000"/>
                <w:sz w:val="20"/>
              </w:rPr>
              <w:t>достаточных ИТ</w:t>
            </w:r>
            <w:r>
              <w:br/>
            </w:r>
            <w:r>
              <w:rPr>
                <w:rFonts w:ascii="Times New Roman"/>
                <w:b w:val="false"/>
                <w:i w:val="false"/>
                <w:color w:val="000000"/>
                <w:sz w:val="20"/>
              </w:rPr>
              <w:t>
</w:t>
            </w:r>
            <w:r>
              <w:rPr>
                <w:rFonts w:ascii="Times New Roman"/>
                <w:b w:val="false"/>
                <w:i w:val="false"/>
                <w:color w:val="000000"/>
                <w:sz w:val="20"/>
              </w:rPr>
              <w:t>ресурсов.</w:t>
            </w:r>
          </w:p>
        </w:tc>
      </w:tr>
    </w:tbl>
    <w:p>
      <w:pPr>
        <w:spacing w:after="0"/>
        <w:ind w:left="0"/>
        <w:jc w:val="both"/>
      </w:pPr>
      <w:r>
        <w:rPr>
          <w:rFonts w:ascii="Times New Roman"/>
          <w:b w:val="false"/>
          <w:i w:val="false"/>
          <w:color w:val="000000"/>
          <w:sz w:val="28"/>
        </w:rPr>
        <w:t>      </w:t>
      </w:r>
      <w:r>
        <w:rPr>
          <w:rFonts w:ascii="Times New Roman"/>
          <w:b w:val="false"/>
          <w:i/>
          <w:color w:val="000000"/>
          <w:sz w:val="28"/>
        </w:rPr>
        <w:t>2.2.5 Компонент 5: усиление предпринимательского потенциала МСБ через организацию обучения, бизнес - тренингов, стажировок участников проекта</w:t>
      </w:r>
      <w:r>
        <w:br/>
      </w:r>
      <w:r>
        <w:rPr>
          <w:rFonts w:ascii="Times New Roman"/>
          <w:b w:val="false"/>
          <w:i w:val="false"/>
          <w:color w:val="000000"/>
          <w:sz w:val="28"/>
        </w:rPr>
        <w:t>
      23. Организация обучения, бизнес - тренингов, стажировок участников проекта является комплексной мерой, обеспечивающей достаточную обоснованность деятельности по стимулированию инвестиций и политики в сфере развития МСБ.</w:t>
      </w:r>
      <w:r>
        <w:br/>
      </w:r>
      <w:r>
        <w:rPr>
          <w:rFonts w:ascii="Times New Roman"/>
          <w:b w:val="false"/>
          <w:i w:val="false"/>
          <w:color w:val="000000"/>
          <w:sz w:val="28"/>
        </w:rPr>
        <w:t>
      24. Достижения данного проекта – его надлежащая реализация и устойчивость результата – в большой мере зависят от способности ключевых региональных участников разрабатывать и внедрять новые политические меры по стимулированию инвестиций и развитию МСБ. В число ключевых региональных участников могут входить: региональные политики, бизнес-посредники (торговые палаты), а также политики национального уровня, занимающиеся вопросами регионального развития.</w:t>
      </w:r>
      <w:r>
        <w:br/>
      </w:r>
      <w:r>
        <w:rPr>
          <w:rFonts w:ascii="Times New Roman"/>
          <w:b w:val="false"/>
          <w:i w:val="false"/>
          <w:color w:val="000000"/>
          <w:sz w:val="28"/>
        </w:rPr>
        <w:t>
      25. Особое внимание будет уделяться мерам по стимулированию инвестиций, программам по взаимосвязи ПИИ-МСБ, политике, направленной на развитие МСБ и возможностям мониторинга. ОЭСР обладает обширным опытом в определении «узких мест». Фокусируя свои усилия на этих сферах в целях достижения улучшений и передачи ноу-хау ключевым региональным игрокам, ОЭСР будет поддерживать усиление предпринимательского потенциала МСБ на региональном уровне в Казахстане для оптимального результата.</w:t>
      </w:r>
    </w:p>
    <w:p>
      <w:pPr>
        <w:spacing w:after="0"/>
        <w:ind w:left="0"/>
        <w:jc w:val="both"/>
      </w:pPr>
      <w:r>
        <w:rPr>
          <w:rFonts w:ascii="Times New Roman"/>
          <w:b/>
          <w:i w:val="false"/>
          <w:color w:val="000000"/>
          <w:sz w:val="28"/>
        </w:rPr>
        <w:t>   Иллюстрация 7. Типичные сферы в политике стимулирования</w:t>
      </w:r>
      <w:r>
        <w:br/>
      </w:r>
      <w:r>
        <w:rPr>
          <w:rFonts w:ascii="Times New Roman"/>
          <w:b w:val="false"/>
          <w:i w:val="false"/>
          <w:color w:val="000000"/>
          <w:sz w:val="28"/>
        </w:rPr>
        <w:t>
</w:t>
      </w:r>
      <w:r>
        <w:rPr>
          <w:rFonts w:ascii="Times New Roman"/>
          <w:b/>
          <w:i w:val="false"/>
          <w:color w:val="000000"/>
          <w:sz w:val="28"/>
        </w:rPr>
        <w:t>     развития МСБ и инвестиций, нуждающиеся в улучшении</w:t>
      </w:r>
    </w:p>
    <w:p>
      <w:pPr>
        <w:spacing w:after="0"/>
        <w:ind w:left="0"/>
        <w:jc w:val="both"/>
      </w:pPr>
      <w:r>
        <w:rPr>
          <w:rFonts w:ascii="Times New Roman"/>
          <w:b w:val="false"/>
          <w:i w:val="false"/>
          <w:color w:val="000000"/>
          <w:sz w:val="28"/>
        </w:rPr>
        <w:t>Источник: ОЭСР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699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Измерения индекса политики развития МСБ</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Политическая основа для</w:t>
            </w:r>
            <w:r>
              <w:br/>
            </w:r>
            <w:r>
              <w:rPr>
                <w:rFonts w:ascii="Times New Roman"/>
                <w:b w:val="false"/>
                <w:i w:val="false"/>
                <w:color w:val="000000"/>
                <w:sz w:val="20"/>
              </w:rPr>
              <w:t>
инвестирования</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Обучение и тренинги по</w:t>
            </w:r>
            <w:r>
              <w:br/>
            </w:r>
            <w:r>
              <w:rPr>
                <w:rFonts w:ascii="Times New Roman"/>
                <w:b w:val="false"/>
                <w:i w:val="false"/>
                <w:color w:val="000000"/>
                <w:sz w:val="20"/>
              </w:rPr>
              <w:t>
предпринимательству</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Инвестиционная политика</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Менее дорогостоящее и</w:t>
            </w:r>
            <w:r>
              <w:br/>
            </w:r>
            <w:r>
              <w:rPr>
                <w:rFonts w:ascii="Times New Roman"/>
                <w:b w:val="false"/>
                <w:i w:val="false"/>
                <w:color w:val="000000"/>
                <w:sz w:val="20"/>
              </w:rPr>
              <w:t>
быстрое начало</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и облегчение</w:t>
            </w:r>
            <w:r>
              <w:br/>
            </w:r>
            <w:r>
              <w:rPr>
                <w:rFonts w:ascii="Times New Roman"/>
                <w:b w:val="false"/>
                <w:i w:val="false"/>
                <w:color w:val="000000"/>
                <w:sz w:val="20"/>
              </w:rPr>
              <w:t>
инвестиции</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Лучшее законодательство и</w:t>
            </w:r>
            <w:r>
              <w:br/>
            </w:r>
            <w:r>
              <w:rPr>
                <w:rFonts w:ascii="Times New Roman"/>
                <w:b w:val="false"/>
                <w:i w:val="false"/>
                <w:color w:val="000000"/>
                <w:sz w:val="20"/>
              </w:rPr>
              <w:t>
регулирование</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политика</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Доступность навыков</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Политика в сфере конкуренции</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Улучшение доступа он-лайн</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Налоговая политика</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Получение большей пользы от</w:t>
            </w:r>
            <w:r>
              <w:br/>
            </w:r>
            <w:r>
              <w:rPr>
                <w:rFonts w:ascii="Times New Roman"/>
                <w:b w:val="false"/>
                <w:i w:val="false"/>
                <w:color w:val="000000"/>
                <w:sz w:val="20"/>
              </w:rPr>
              <w:t>
единого рынка</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Политика, поддерживающая</w:t>
            </w:r>
            <w:r>
              <w:br/>
            </w:r>
            <w:r>
              <w:rPr>
                <w:rFonts w:ascii="Times New Roman"/>
                <w:b w:val="false"/>
                <w:i w:val="false"/>
                <w:color w:val="000000"/>
                <w:sz w:val="20"/>
              </w:rPr>
              <w:t>
ответственное поведение бизнеса</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Налогообложение и</w:t>
            </w:r>
            <w:r>
              <w:br/>
            </w:r>
            <w:r>
              <w:rPr>
                <w:rFonts w:ascii="Times New Roman"/>
                <w:b w:val="false"/>
                <w:i w:val="false"/>
                <w:color w:val="000000"/>
                <w:sz w:val="20"/>
              </w:rPr>
              <w:t>
предоставление финансирования</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кадровых ресурсов</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Укрепление технологического</w:t>
            </w:r>
            <w:r>
              <w:br/>
            </w:r>
            <w:r>
              <w:rPr>
                <w:rFonts w:ascii="Times New Roman"/>
                <w:b w:val="false"/>
                <w:i w:val="false"/>
                <w:color w:val="000000"/>
                <w:sz w:val="20"/>
              </w:rPr>
              <w:t>
потенциала МСБ</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Инфраструктура и развитие</w:t>
            </w:r>
            <w:r>
              <w:br/>
            </w:r>
            <w:r>
              <w:rPr>
                <w:rFonts w:ascii="Times New Roman"/>
                <w:b w:val="false"/>
                <w:i w:val="false"/>
                <w:color w:val="000000"/>
                <w:sz w:val="20"/>
              </w:rPr>
              <w:t>
финансового сектора</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Успешные модели е-бизнеса и</w:t>
            </w:r>
            <w:r>
              <w:br/>
            </w:r>
            <w:r>
              <w:rPr>
                <w:rFonts w:ascii="Times New Roman"/>
                <w:b w:val="false"/>
                <w:i w:val="false"/>
                <w:color w:val="000000"/>
                <w:sz w:val="20"/>
              </w:rPr>
              <w:t>
бизнес-поддержка высшего класса</w:t>
            </w:r>
            <w:r>
              <w:br/>
            </w:r>
            <w:r>
              <w:rPr>
                <w:rFonts w:ascii="Times New Roman"/>
                <w:b w:val="false"/>
                <w:i w:val="false"/>
                <w:color w:val="000000"/>
                <w:sz w:val="20"/>
              </w:rPr>
              <w:t>
Развитие более серьезного,</w:t>
            </w:r>
            <w:r>
              <w:br/>
            </w:r>
            <w:r>
              <w:rPr>
                <w:rFonts w:ascii="Times New Roman"/>
                <w:b w:val="false"/>
                <w:i w:val="false"/>
                <w:color w:val="000000"/>
                <w:sz w:val="20"/>
              </w:rPr>
              <w:t>
эффективного представительства</w:t>
            </w:r>
            <w:r>
              <w:br/>
            </w:r>
            <w:r>
              <w:rPr>
                <w:rFonts w:ascii="Times New Roman"/>
                <w:b w:val="false"/>
                <w:i w:val="false"/>
                <w:color w:val="000000"/>
                <w:sz w:val="20"/>
              </w:rPr>
              <w:t>
интересов малых предприятий</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Публичное управление</w:t>
            </w:r>
          </w:p>
        </w:tc>
      </w:tr>
    </w:tbl>
    <w:p>
      <w:pPr>
        <w:spacing w:after="0"/>
        <w:ind w:left="0"/>
        <w:jc w:val="left"/>
      </w:pPr>
      <w:r>
        <w:rPr>
          <w:rFonts w:ascii="Times New Roman"/>
          <w:b/>
          <w:i w:val="false"/>
          <w:color w:val="000000"/>
        </w:rPr>
        <w:t xml:space="preserve"> 3. МЕТОДОЛОГИЯ: ОЖИДАЕМЫЕ РЕЗУЛЬТАТЫ И ОСНОВНЫЕ мероприятия</w:t>
      </w:r>
    </w:p>
    <w:p>
      <w:pPr>
        <w:spacing w:after="0"/>
        <w:ind w:left="0"/>
        <w:jc w:val="both"/>
      </w:pPr>
      <w:r>
        <w:rPr>
          <w:rFonts w:ascii="Times New Roman"/>
          <w:b w:val="false"/>
          <w:i w:val="false"/>
          <w:color w:val="000000"/>
          <w:sz w:val="28"/>
        </w:rPr>
        <w:t>      </w:t>
      </w:r>
      <w:r>
        <w:rPr>
          <w:rFonts w:ascii="Times New Roman"/>
          <w:b/>
          <w:i w:val="false"/>
          <w:color w:val="000000"/>
          <w:sz w:val="28"/>
        </w:rPr>
        <w:t>3.1 Подход из трех этапов</w:t>
      </w:r>
    </w:p>
    <w:p>
      <w:pPr>
        <w:spacing w:after="0"/>
        <w:ind w:left="0"/>
        <w:jc w:val="both"/>
      </w:pPr>
      <w:r>
        <w:rPr>
          <w:rFonts w:ascii="Times New Roman"/>
          <w:b w:val="false"/>
          <w:i w:val="false"/>
          <w:color w:val="000000"/>
          <w:sz w:val="28"/>
        </w:rPr>
        <w:t>      26. В целях поддержки усилий Казахстана по диверсификации региональных ПИИ, ОЭСР предлагает трехэтапный подход, охватывающий пять ранее определенных компонентов:</w:t>
      </w:r>
      <w:r>
        <w:br/>
      </w:r>
      <w:r>
        <w:rPr>
          <w:rFonts w:ascii="Times New Roman"/>
          <w:b w:val="false"/>
          <w:i w:val="false"/>
          <w:color w:val="000000"/>
          <w:sz w:val="28"/>
        </w:rPr>
        <w:t>
      Этап 1. Разработка региональной инвестиционной дорожной карты с акцентом на усиление предпринимательского потенциала МСБ</w:t>
      </w:r>
      <w:r>
        <w:br/>
      </w:r>
      <w:r>
        <w:rPr>
          <w:rFonts w:ascii="Times New Roman"/>
          <w:b w:val="false"/>
          <w:i w:val="false"/>
          <w:color w:val="000000"/>
          <w:sz w:val="28"/>
        </w:rPr>
        <w:t>
      Этап 2. Реализация плана (дорожной карты) в трех отобранных пилотных регионах</w:t>
      </w:r>
      <w:r>
        <w:br/>
      </w:r>
      <w:r>
        <w:rPr>
          <w:rFonts w:ascii="Times New Roman"/>
          <w:b w:val="false"/>
          <w:i w:val="false"/>
          <w:color w:val="000000"/>
          <w:sz w:val="28"/>
        </w:rPr>
        <w:t>
      Этап.3 Создание устойчивого механизма, позволяющего властям Казахстана реализовывать региональные стратегии стимулирования инвестиций в других регионах</w:t>
      </w:r>
      <w:r>
        <w:br/>
      </w:r>
      <w:r>
        <w:rPr>
          <w:rFonts w:ascii="Times New Roman"/>
          <w:b w:val="false"/>
          <w:i w:val="false"/>
          <w:color w:val="000000"/>
          <w:sz w:val="28"/>
        </w:rPr>
        <w:t>
      В рамках полного проекта, включающего одновременно национальные и региональные компоненты, будут проведены заседания рабочих групп для получения экспертной оценки, в целях сопоставить обе методики в свете Программы ОЭСР по Конкурентоспособности в Евразии.</w:t>
      </w:r>
    </w:p>
    <w:p>
      <w:pPr>
        <w:spacing w:after="0"/>
        <w:ind w:left="0"/>
        <w:jc w:val="both"/>
      </w:pPr>
      <w:r>
        <w:rPr>
          <w:rFonts w:ascii="Times New Roman"/>
          <w:b w:val="false"/>
          <w:i w:val="false"/>
          <w:color w:val="000000"/>
          <w:sz w:val="28"/>
        </w:rPr>
        <w:t>      </w:t>
      </w:r>
      <w:r>
        <w:rPr>
          <w:rFonts w:ascii="Times New Roman"/>
          <w:b/>
          <w:i w:val="false"/>
          <w:color w:val="000000"/>
          <w:sz w:val="28"/>
        </w:rPr>
        <w:t>3.2 Методологи Этапа 1: ожидаемые результаты и основные мероприятия</w:t>
      </w:r>
      <w:r>
        <w:br/>
      </w:r>
      <w:r>
        <w:rPr>
          <w:rFonts w:ascii="Times New Roman"/>
          <w:b w:val="false"/>
          <w:i w:val="false"/>
          <w:color w:val="000000"/>
          <w:sz w:val="28"/>
        </w:rPr>
        <w:t>
      </w:t>
      </w:r>
      <w:r>
        <w:rPr>
          <w:rFonts w:ascii="Times New Roman"/>
          <w:b w:val="false"/>
          <w:i/>
          <w:color w:val="000000"/>
          <w:sz w:val="28"/>
        </w:rPr>
        <w:t>3.2.1 Этап 1 – Компонент 1 - Методология</w:t>
      </w:r>
      <w:r>
        <w:br/>
      </w:r>
      <w:r>
        <w:rPr>
          <w:rFonts w:ascii="Times New Roman"/>
          <w:b w:val="false"/>
          <w:i w:val="false"/>
          <w:color w:val="000000"/>
          <w:sz w:val="28"/>
        </w:rPr>
        <w:t>
      27. Ожидаемые результаты</w:t>
      </w:r>
      <w:r>
        <w:rPr>
          <w:rFonts w:ascii="Times New Roman"/>
          <w:b w:val="false"/>
          <w:i w:val="false"/>
          <w:color w:val="000000"/>
          <w:vertAlign w:val="superscript"/>
        </w:rPr>
        <w:t>7</w:t>
      </w:r>
      <w:r>
        <w:br/>
      </w:r>
      <w:r>
        <w:rPr>
          <w:rFonts w:ascii="Times New Roman"/>
          <w:b w:val="false"/>
          <w:i w:val="false"/>
          <w:color w:val="000000"/>
          <w:sz w:val="28"/>
        </w:rPr>
        <w:t>
      - R.1.1. Публикация территориального обзора ОЭСР, в котором рассматриваются вызовы и возможности для региональной политики и предоставляются рекомендации, касающиеся, в частности, вызовов в сфере управления.</w:t>
      </w:r>
      <w:r>
        <w:br/>
      </w:r>
      <w:r>
        <w:rPr>
          <w:rFonts w:ascii="Times New Roman"/>
          <w:b w:val="false"/>
          <w:i w:val="false"/>
          <w:color w:val="000000"/>
          <w:sz w:val="28"/>
        </w:rPr>
        <w:t>
      - R.1.2. Отбор трех пилотных регионов для реализации региональных планов.</w:t>
      </w:r>
      <w:r>
        <w:br/>
      </w:r>
      <w:r>
        <w:rPr>
          <w:rFonts w:ascii="Times New Roman"/>
          <w:b w:val="false"/>
          <w:i w:val="false"/>
          <w:color w:val="000000"/>
          <w:sz w:val="28"/>
        </w:rPr>
        <w:t>
      - R.1.3. Три региональных плана, по одному для каждого региона, исключая столичные города, где рассматривается, какие виды экономической активности представляют интерес для потенциальных инвесторов и МСБ, и формулируются рекомендации по реализации их потенциала.</w:t>
      </w:r>
      <w:r>
        <w:br/>
      </w:r>
      <w:r>
        <w:rPr>
          <w:rFonts w:ascii="Times New Roman"/>
          <w:b w:val="false"/>
          <w:i w:val="false"/>
          <w:color w:val="000000"/>
          <w:sz w:val="28"/>
        </w:rPr>
        <w:t>
      - R.1.4. Три документа, касающиеся стимулирования инвестиций для представления потенциальным иностранным инвесторам.</w:t>
      </w:r>
      <w:r>
        <w:br/>
      </w:r>
      <w:r>
        <w:rPr>
          <w:rFonts w:ascii="Times New Roman"/>
          <w:b w:val="false"/>
          <w:i w:val="false"/>
          <w:color w:val="000000"/>
          <w:sz w:val="28"/>
        </w:rPr>
        <w:t>
      28. Мероприятия</w:t>
      </w:r>
      <w:r>
        <w:br/>
      </w:r>
      <w:r>
        <w:rPr>
          <w:rFonts w:ascii="Times New Roman"/>
          <w:b w:val="false"/>
          <w:i w:val="false"/>
          <w:color w:val="000000"/>
          <w:sz w:val="28"/>
        </w:rPr>
        <w:t>
      - Основные мероприятия по R.1.1.</w:t>
      </w:r>
      <w:r>
        <w:br/>
      </w:r>
      <w:r>
        <w:rPr>
          <w:rFonts w:ascii="Times New Roman"/>
          <w:b w:val="false"/>
          <w:i w:val="false"/>
          <w:color w:val="000000"/>
          <w:sz w:val="28"/>
        </w:rPr>
        <w:t>
      - Нисходящий подход: сбор качественных и количественных данных, напр. о текущей региональной политике Казахстана, или ключевых экономических показателях, характерных для данного региона.</w:t>
      </w:r>
      <w:r>
        <w:br/>
      </w:r>
      <w:r>
        <w:rPr>
          <w:rFonts w:ascii="Times New Roman"/>
          <w:b w:val="false"/>
          <w:i w:val="false"/>
          <w:color w:val="000000"/>
          <w:sz w:val="28"/>
        </w:rPr>
        <w:t>
      - Восходящий подход: консультации с ключевыми заинтересованными сторонами, такими как кабинет премьер-министра или президентская администрация, региональные исполнительные власти, ключевые представители частного сектора на центральном и региональном уровнях.</w:t>
      </w:r>
      <w:r>
        <w:br/>
      </w:r>
      <w:r>
        <w:rPr>
          <w:rFonts w:ascii="Times New Roman"/>
          <w:b w:val="false"/>
          <w:i w:val="false"/>
          <w:color w:val="000000"/>
          <w:sz w:val="28"/>
        </w:rPr>
        <w:t>
      - Экспертная оценка с участием специалистов из сопоставимых стран, напр. Польши.</w:t>
      </w:r>
      <w:r>
        <w:br/>
      </w:r>
      <w:r>
        <w:rPr>
          <w:rFonts w:ascii="Times New Roman"/>
          <w:b w:val="false"/>
          <w:i w:val="false"/>
          <w:color w:val="000000"/>
          <w:sz w:val="28"/>
        </w:rPr>
        <w:t>
      - Формулирование выводов и рекомендаций, согласованных на национальном и региональном уровнях с основными заинтересованными сторонами.</w:t>
      </w:r>
      <w:r>
        <w:br/>
      </w:r>
      <w:r>
        <w:rPr>
          <w:rFonts w:ascii="Times New Roman"/>
          <w:b w:val="false"/>
          <w:i w:val="false"/>
          <w:color w:val="000000"/>
          <w:sz w:val="28"/>
        </w:rPr>
        <w:t>
      - Официальная публикация в сотрудничестве с основными заинтересованными сторонами.</w:t>
      </w:r>
      <w:r>
        <w:br/>
      </w:r>
      <w:r>
        <w:rPr>
          <w:rFonts w:ascii="Times New Roman"/>
          <w:b w:val="false"/>
          <w:i w:val="false"/>
          <w:color w:val="000000"/>
          <w:sz w:val="28"/>
        </w:rPr>
        <w:t>
      - Основные мероприятия по R.1.2.</w:t>
      </w:r>
      <w:r>
        <w:br/>
      </w:r>
      <w:r>
        <w:rPr>
          <w:rFonts w:ascii="Times New Roman"/>
          <w:b w:val="false"/>
          <w:i w:val="false"/>
          <w:color w:val="000000"/>
          <w:sz w:val="28"/>
        </w:rPr>
        <w:t>
      - Консультации с национальными правительствами.</w:t>
      </w:r>
      <w:r>
        <w:br/>
      </w:r>
      <w:r>
        <w:rPr>
          <w:rFonts w:ascii="Times New Roman"/>
          <w:b w:val="false"/>
          <w:i w:val="false"/>
          <w:color w:val="000000"/>
          <w:sz w:val="28"/>
        </w:rPr>
        <w:t>
      - Консультации с региональными правительствами и анализ поддержки со стороны акиматов.</w:t>
      </w:r>
      <w:r>
        <w:br/>
      </w:r>
      <w:r>
        <w:rPr>
          <w:rFonts w:ascii="Times New Roman"/>
          <w:b w:val="false"/>
          <w:i w:val="false"/>
          <w:color w:val="000000"/>
          <w:sz w:val="28"/>
        </w:rPr>
        <w:t>
      - Тщательная проверка проектов, реализуемых в настоящее время совместно с другими организациями и партнерами (напр. ЕС, Всемирный Банк, USAID, GTZ, AFD, и т.д.) для объединения усилий и во избежание частичного совпадения.</w:t>
      </w:r>
      <w:r>
        <w:br/>
      </w:r>
      <w:r>
        <w:rPr>
          <w:rFonts w:ascii="Times New Roman"/>
          <w:b w:val="false"/>
          <w:i w:val="false"/>
          <w:color w:val="000000"/>
          <w:sz w:val="28"/>
        </w:rPr>
        <w:t>
      - Согласие относительно того, какие регионы будут пилотными.</w:t>
      </w:r>
      <w:r>
        <w:br/>
      </w:r>
      <w:r>
        <w:rPr>
          <w:rFonts w:ascii="Times New Roman"/>
          <w:b w:val="false"/>
          <w:i w:val="false"/>
          <w:color w:val="000000"/>
          <w:sz w:val="28"/>
        </w:rPr>
        <w:t>
      - Основные мероприятия по R.1.3.</w:t>
      </w:r>
      <w:r>
        <w:br/>
      </w:r>
      <w:r>
        <w:rPr>
          <w:rFonts w:ascii="Times New Roman"/>
          <w:b w:val="false"/>
          <w:i w:val="false"/>
          <w:color w:val="000000"/>
          <w:sz w:val="28"/>
        </w:rPr>
        <w:t>
      - Использование результатов Территориального обзора ОЭСР для определения сильных и слабых сторон региона, возможностей и угроз.</w:t>
      </w:r>
      <w:r>
        <w:br/>
      </w:r>
      <w:r>
        <w:rPr>
          <w:rFonts w:ascii="Times New Roman"/>
          <w:b w:val="false"/>
          <w:i w:val="false"/>
          <w:color w:val="000000"/>
          <w:sz w:val="28"/>
        </w:rPr>
        <w:t>
      - Восходящий подход: консультации с ключевыми региональными заинтересованными сторонами, внутренним и внешним частным сектором для определения того, где и как каждый регион может конкурировать за инвестиции.</w:t>
      </w:r>
      <w:r>
        <w:br/>
      </w:r>
      <w:r>
        <w:rPr>
          <w:rFonts w:ascii="Times New Roman"/>
          <w:b w:val="false"/>
          <w:i w:val="false"/>
          <w:color w:val="000000"/>
          <w:sz w:val="28"/>
        </w:rPr>
        <w:t>
      - Завершение окончательного перечня секторов региона, обладающих потенциалом привлечения ПИИ и поддержки развития МСБ.</w:t>
      </w:r>
      <w:r>
        <w:br/>
      </w:r>
      <w:r>
        <w:rPr>
          <w:rFonts w:ascii="Times New Roman"/>
          <w:b w:val="false"/>
          <w:i w:val="false"/>
          <w:color w:val="000000"/>
          <w:sz w:val="28"/>
        </w:rPr>
        <w:t>
      - Формулирование рекомендаций для конкретных секторов, согласованных на региональном и национальном уровнях, для реализации потенциала этих секторов.</w:t>
      </w:r>
      <w:r>
        <w:br/>
      </w:r>
      <w:r>
        <w:rPr>
          <w:rFonts w:ascii="Times New Roman"/>
          <w:b w:val="false"/>
          <w:i w:val="false"/>
          <w:color w:val="000000"/>
          <w:sz w:val="28"/>
        </w:rPr>
        <w:t>
      - Основные мероприятия по R.1.4.</w:t>
      </w:r>
      <w:r>
        <w:br/>
      </w:r>
      <w:r>
        <w:rPr>
          <w:rFonts w:ascii="Times New Roman"/>
          <w:b w:val="false"/>
          <w:i w:val="false"/>
          <w:color w:val="000000"/>
          <w:sz w:val="28"/>
        </w:rPr>
        <w:t>
      - Совместная рабочая группа и объединение усилий Агентством по содействию инвестициям в целях трансформации регионального анализа конкретных секторов в материалы по стимулированию инвестиций.</w:t>
      </w:r>
      <w:r>
        <w:br/>
      </w:r>
      <w:r>
        <w:rPr>
          <w:rFonts w:ascii="Times New Roman"/>
          <w:b w:val="false"/>
          <w:i w:val="false"/>
          <w:color w:val="000000"/>
          <w:sz w:val="28"/>
        </w:rPr>
        <w:t>
_______________________</w:t>
      </w:r>
    </w:p>
    <w:p>
      <w:pPr>
        <w:spacing w:after="0"/>
        <w:ind w:left="0"/>
        <w:jc w:val="both"/>
      </w:pPr>
      <w:r>
        <w:rPr>
          <w:rFonts w:ascii="Times New Roman"/>
          <w:b w:val="false"/>
          <w:i w:val="false"/>
          <w:color w:val="000000"/>
          <w:vertAlign w:val="superscript"/>
        </w:rPr>
        <w:t>7</w:t>
      </w:r>
      <w:r>
        <w:rPr>
          <w:rFonts w:ascii="Times New Roman"/>
          <w:b w:val="false"/>
          <w:i w:val="false"/>
          <w:color w:val="000000"/>
          <w:sz w:val="28"/>
        </w:rPr>
        <w:t xml:space="preserve"> Результат (R) номер (у) компонента номер (х) обозначается как R.x.y</w:t>
      </w:r>
    </w:p>
    <w:p>
      <w:pPr>
        <w:spacing w:after="0"/>
        <w:ind w:left="0"/>
        <w:jc w:val="both"/>
      </w:pPr>
      <w:r>
        <w:rPr>
          <w:rFonts w:ascii="Times New Roman"/>
          <w:b w:val="false"/>
          <w:i w:val="false"/>
          <w:color w:val="000000"/>
          <w:sz w:val="28"/>
        </w:rPr>
        <w:t>      </w:t>
      </w:r>
      <w:r>
        <w:rPr>
          <w:rFonts w:ascii="Times New Roman"/>
          <w:b w:val="false"/>
          <w:i/>
          <w:color w:val="000000"/>
          <w:sz w:val="28"/>
        </w:rPr>
        <w:t>3.2.2 Этап 1 - Компонент 2 - Методология</w:t>
      </w:r>
      <w:r>
        <w:br/>
      </w:r>
      <w:r>
        <w:rPr>
          <w:rFonts w:ascii="Times New Roman"/>
          <w:b w:val="false"/>
          <w:i w:val="false"/>
          <w:color w:val="000000"/>
          <w:sz w:val="28"/>
        </w:rPr>
        <w:t>
      29. Ожидаемые результаты</w:t>
      </w:r>
      <w:r>
        <w:br/>
      </w:r>
      <w:r>
        <w:rPr>
          <w:rFonts w:ascii="Times New Roman"/>
          <w:b w:val="false"/>
          <w:i w:val="false"/>
          <w:color w:val="000000"/>
          <w:sz w:val="28"/>
        </w:rPr>
        <w:t>
      - R.2.1. Организационная структура сети региональных АСИ для обеспечения согласованности усилий и эффективности общей схемы: определение ролей и функций, отнесенных к региональному уровню; определение взаимодействия и потоков информации между региональными АСИ и национальными АСИ; определение взаимодействия с региональными и национальными правительствами и типов отчетности.</w:t>
      </w:r>
      <w:r>
        <w:br/>
      </w:r>
      <w:r>
        <w:rPr>
          <w:rFonts w:ascii="Times New Roman"/>
          <w:b w:val="false"/>
          <w:i w:val="false"/>
          <w:color w:val="000000"/>
          <w:sz w:val="28"/>
        </w:rPr>
        <w:t>
      - R.2.2. Проект внутренней организации региональных АСИ: определение порядка подотчетности, схемы управления, бизнес-процессов и информационных потоков, ключевых показателей эффективности и политики внешней коммуникации.</w:t>
      </w:r>
      <w:r>
        <w:br/>
      </w:r>
      <w:r>
        <w:rPr>
          <w:rFonts w:ascii="Times New Roman"/>
          <w:b w:val="false"/>
          <w:i w:val="false"/>
          <w:color w:val="000000"/>
          <w:sz w:val="28"/>
        </w:rPr>
        <w:t>
      30. Мероприятия</w:t>
      </w:r>
      <w:r>
        <w:br/>
      </w:r>
      <w:r>
        <w:rPr>
          <w:rFonts w:ascii="Times New Roman"/>
          <w:b w:val="false"/>
          <w:i w:val="false"/>
          <w:color w:val="000000"/>
          <w:sz w:val="28"/>
        </w:rPr>
        <w:t>
      - Основные мероприятия по R.2.1</w:t>
      </w:r>
      <w:r>
        <w:br/>
      </w:r>
      <w:r>
        <w:rPr>
          <w:rFonts w:ascii="Times New Roman"/>
          <w:b w:val="false"/>
          <w:i w:val="false"/>
          <w:color w:val="000000"/>
          <w:sz w:val="28"/>
        </w:rPr>
        <w:t>
      - Обзор передовых организационных практик ОЭСР в управлении региональной сетью АСИ, напр. ирландский пример.</w:t>
      </w:r>
      <w:r>
        <w:br/>
      </w:r>
      <w:r>
        <w:rPr>
          <w:rFonts w:ascii="Times New Roman"/>
          <w:b w:val="false"/>
          <w:i w:val="false"/>
          <w:color w:val="000000"/>
          <w:sz w:val="28"/>
        </w:rPr>
        <w:t>
      - Создание типологии передовых практик: обоснование, преимущества и недостатки каждого типа.</w:t>
      </w:r>
      <w:r>
        <w:br/>
      </w:r>
      <w:r>
        <w:rPr>
          <w:rFonts w:ascii="Times New Roman"/>
          <w:b w:val="false"/>
          <w:i w:val="false"/>
          <w:color w:val="000000"/>
          <w:sz w:val="28"/>
        </w:rPr>
        <w:t>
      - Консультации с ключевыми региональными заинтересованными сторонами в целях понимания специфики Казахстана и ресурсных узких мест.</w:t>
      </w:r>
      <w:r>
        <w:br/>
      </w:r>
      <w:r>
        <w:rPr>
          <w:rFonts w:ascii="Times New Roman"/>
          <w:b w:val="false"/>
          <w:i w:val="false"/>
          <w:color w:val="000000"/>
          <w:sz w:val="28"/>
        </w:rPr>
        <w:t>
      - Соглашение по схеме, подкрепленной как международными лучшими практиками, так и спецификой Казахстана.</w:t>
      </w:r>
      <w:r>
        <w:br/>
      </w:r>
      <w:r>
        <w:rPr>
          <w:rFonts w:ascii="Times New Roman"/>
          <w:b w:val="false"/>
          <w:i w:val="false"/>
          <w:color w:val="000000"/>
          <w:sz w:val="28"/>
        </w:rPr>
        <w:t>
      - Основные мероприятия по R.2.2</w:t>
      </w:r>
      <w:r>
        <w:br/>
      </w:r>
      <w:r>
        <w:rPr>
          <w:rFonts w:ascii="Times New Roman"/>
          <w:b w:val="false"/>
          <w:i w:val="false"/>
          <w:color w:val="000000"/>
          <w:sz w:val="28"/>
        </w:rPr>
        <w:t>
      - Обзор передовых практик ОЭСР в сфере внутреннего функционирования и организации региональных АСИ: порядок подотчетности, менеджмент, бизнес-процессы, стандартизованные результаты и ключевые показатели эффективности.</w:t>
      </w:r>
      <w:r>
        <w:br/>
      </w:r>
      <w:r>
        <w:rPr>
          <w:rFonts w:ascii="Times New Roman"/>
          <w:b w:val="false"/>
          <w:i w:val="false"/>
          <w:color w:val="000000"/>
          <w:sz w:val="28"/>
        </w:rPr>
        <w:t>
      - Создание типологии передовых практик: обоснование, преимущества и недостатки каждого типа.</w:t>
      </w:r>
      <w:r>
        <w:br/>
      </w:r>
      <w:r>
        <w:rPr>
          <w:rFonts w:ascii="Times New Roman"/>
          <w:b w:val="false"/>
          <w:i w:val="false"/>
          <w:color w:val="000000"/>
          <w:sz w:val="28"/>
        </w:rPr>
        <w:t>
      - Консультации с ключевыми региональными заинтересованными сторонами в целях понимания специфики Казахстана и ресурсных узких мест, напр. через качественные исследования и семинары.</w:t>
      </w:r>
      <w:r>
        <w:br/>
      </w:r>
      <w:r>
        <w:rPr>
          <w:rFonts w:ascii="Times New Roman"/>
          <w:b w:val="false"/>
          <w:i w:val="false"/>
          <w:color w:val="000000"/>
          <w:sz w:val="28"/>
        </w:rPr>
        <w:t>
      - Соглашение по схеме, подкрепленной как международными лучшими практиками, так и национальной и региональной спецификой Казахстана.</w:t>
      </w:r>
      <w:r>
        <w:br/>
      </w:r>
      <w:r>
        <w:rPr>
          <w:rFonts w:ascii="Times New Roman"/>
          <w:b w:val="false"/>
          <w:i w:val="false"/>
          <w:color w:val="000000"/>
          <w:sz w:val="28"/>
        </w:rPr>
        <w:t>
      - Основные мероприятия по R.2.3.</w:t>
      </w:r>
      <w:r>
        <w:br/>
      </w:r>
      <w:r>
        <w:rPr>
          <w:rFonts w:ascii="Times New Roman"/>
          <w:b w:val="false"/>
          <w:i w:val="false"/>
          <w:color w:val="000000"/>
          <w:sz w:val="28"/>
        </w:rPr>
        <w:t>
      - Серьезная поддержка ОЭСР в создании руководящего комитета, включающего национальных представителей Агентства по инвестиционной политике, представителей регионов, стран ОЭСР и специалистов по организации региональных АСИ.</w:t>
      </w:r>
      <w:r>
        <w:br/>
      </w:r>
      <w:r>
        <w:rPr>
          <w:rFonts w:ascii="Times New Roman"/>
          <w:b w:val="false"/>
          <w:i w:val="false"/>
          <w:color w:val="000000"/>
          <w:sz w:val="28"/>
        </w:rPr>
        <w:t>
      - Основные функции руководящего комитета, который будет регулярно собираться в течение Этапа II: определение схем финансирования (региональные или национальные источники финансирования) региональных АСИ, издание региональных и национальных законов или нормативных актов для создания региональных АСИ.</w:t>
      </w:r>
      <w:r>
        <w:br/>
      </w:r>
      <w:r>
        <w:rPr>
          <w:rFonts w:ascii="Times New Roman"/>
          <w:b w:val="false"/>
          <w:i w:val="false"/>
          <w:color w:val="000000"/>
          <w:sz w:val="28"/>
        </w:rPr>
        <w:t>
      - Серьезная поддержка ОЭСР на операционном и региональном уровнях, напр. учреждение региональных АСИ, получение помещений, наем персонала, и т.д.</w:t>
      </w:r>
      <w:r>
        <w:br/>
      </w:r>
      <w:r>
        <w:rPr>
          <w:rFonts w:ascii="Times New Roman"/>
          <w:b w:val="false"/>
          <w:i w:val="false"/>
          <w:color w:val="000000"/>
          <w:sz w:val="28"/>
        </w:rPr>
        <w:t>
      - Основные мероприятия по R.2.4.</w:t>
      </w:r>
      <w:r>
        <w:br/>
      </w:r>
      <w:r>
        <w:rPr>
          <w:rFonts w:ascii="Times New Roman"/>
          <w:b w:val="false"/>
          <w:i w:val="false"/>
          <w:color w:val="000000"/>
          <w:sz w:val="28"/>
        </w:rPr>
        <w:t>
      - Поддержка соответствующих органов в остальных 11 регионах для создания сети АСИ, придерживаясь общего подхода, описанного в R.2.3. выше.</w:t>
      </w:r>
      <w:r>
        <w:br/>
      </w:r>
      <w:r>
        <w:rPr>
          <w:rFonts w:ascii="Times New Roman"/>
          <w:b w:val="false"/>
          <w:i w:val="false"/>
          <w:color w:val="000000"/>
          <w:sz w:val="28"/>
        </w:rPr>
        <w:t>
      - Поощрение «административного партнерства» между тремя пилотными регионами и остальными 11 регионами для стимулирования обмена опытом и взаимного обучения.</w:t>
      </w:r>
      <w:r>
        <w:br/>
      </w:r>
      <w:r>
        <w:rPr>
          <w:rFonts w:ascii="Times New Roman"/>
          <w:b w:val="false"/>
          <w:i w:val="false"/>
          <w:color w:val="000000"/>
          <w:sz w:val="28"/>
        </w:rPr>
        <w:t>
      </w:t>
      </w:r>
      <w:r>
        <w:rPr>
          <w:rFonts w:ascii="Times New Roman"/>
          <w:b w:val="false"/>
          <w:i/>
          <w:color w:val="000000"/>
          <w:sz w:val="28"/>
        </w:rPr>
        <w:t>3.2.3 Этап 1 - Компонент 3 - Методология</w:t>
      </w:r>
      <w:r>
        <w:br/>
      </w:r>
      <w:r>
        <w:rPr>
          <w:rFonts w:ascii="Times New Roman"/>
          <w:b w:val="false"/>
          <w:i w:val="false"/>
          <w:color w:val="000000"/>
          <w:sz w:val="28"/>
        </w:rPr>
        <w:t>
      31. Ожидаемые результаты</w:t>
      </w:r>
      <w:r>
        <w:br/>
      </w:r>
      <w:r>
        <w:rPr>
          <w:rFonts w:ascii="Times New Roman"/>
          <w:b w:val="false"/>
          <w:i w:val="false"/>
          <w:color w:val="000000"/>
          <w:sz w:val="28"/>
        </w:rPr>
        <w:t>
      - R.3.1. Определение стратегии создания взаимосвязей для трех пилотных регионов, в зависимости от специфики каждого региона.</w:t>
      </w:r>
      <w:r>
        <w:br/>
      </w:r>
      <w:r>
        <w:rPr>
          <w:rFonts w:ascii="Times New Roman"/>
          <w:b w:val="false"/>
          <w:i w:val="false"/>
          <w:color w:val="000000"/>
          <w:sz w:val="28"/>
        </w:rPr>
        <w:t>
      32. Мероприятия</w:t>
      </w:r>
      <w:r>
        <w:br/>
      </w:r>
      <w:r>
        <w:rPr>
          <w:rFonts w:ascii="Times New Roman"/>
          <w:b w:val="false"/>
          <w:i w:val="false"/>
          <w:color w:val="000000"/>
          <w:sz w:val="28"/>
        </w:rPr>
        <w:t>
      - Основные мероприятия по R.3.1.</w:t>
      </w:r>
      <w:r>
        <w:br/>
      </w:r>
      <w:r>
        <w:rPr>
          <w:rFonts w:ascii="Times New Roman"/>
          <w:b w:val="false"/>
          <w:i w:val="false"/>
          <w:color w:val="000000"/>
          <w:sz w:val="28"/>
        </w:rPr>
        <w:t>
      - Оценить текущий статус действующих в настоящее время региональных политических стратегий в сфере МСБ, используя специальные инструменты ОЭСР, такие как индекс политики в сфере МСБ и проведение опросов среди ключевых региональных заинтересованных участников в приоритетных секторах экономики, определенных во время разработки региональных инвестиционных планов, см. R.1.2 выше.</w:t>
      </w:r>
      <w:r>
        <w:br/>
      </w:r>
      <w:r>
        <w:rPr>
          <w:rFonts w:ascii="Times New Roman"/>
          <w:b w:val="false"/>
          <w:i w:val="false"/>
          <w:color w:val="000000"/>
          <w:sz w:val="28"/>
        </w:rPr>
        <w:t>
      - Вовлечь ключевых региональных заинтересованных участников в определение приоритетных целей, которые должны быть достигнуты с помощью программ по взаимосвязи ПИИ-МСБ, в том числе новые рыночные возможности для местных фирм, повышение производительности и передача технологий.</w:t>
      </w:r>
      <w:r>
        <w:br/>
      </w:r>
      <w:r>
        <w:rPr>
          <w:rFonts w:ascii="Times New Roman"/>
          <w:b w:val="false"/>
          <w:i w:val="false"/>
          <w:color w:val="000000"/>
          <w:sz w:val="28"/>
        </w:rPr>
        <w:t>
      </w:t>
      </w:r>
      <w:r>
        <w:rPr>
          <w:rFonts w:ascii="Times New Roman"/>
          <w:b w:val="false"/>
          <w:i/>
          <w:color w:val="000000"/>
          <w:sz w:val="28"/>
        </w:rPr>
        <w:t>3.2.4 Этап 1- Компонент 4 - Методология</w:t>
      </w:r>
      <w:r>
        <w:br/>
      </w:r>
      <w:r>
        <w:rPr>
          <w:rFonts w:ascii="Times New Roman"/>
          <w:b w:val="false"/>
          <w:i w:val="false"/>
          <w:color w:val="000000"/>
          <w:sz w:val="28"/>
        </w:rPr>
        <w:t>
      33. Ожидаемые результаты</w:t>
      </w:r>
      <w:r>
        <w:br/>
      </w:r>
      <w:r>
        <w:rPr>
          <w:rFonts w:ascii="Times New Roman"/>
          <w:b w:val="false"/>
          <w:i w:val="false"/>
          <w:color w:val="000000"/>
          <w:sz w:val="28"/>
        </w:rPr>
        <w:t>
      - R.4.1. Определение общей стратегии системы мониторинга.</w:t>
      </w:r>
      <w:r>
        <w:br/>
      </w:r>
      <w:r>
        <w:rPr>
          <w:rFonts w:ascii="Times New Roman"/>
          <w:b w:val="false"/>
          <w:i w:val="false"/>
          <w:color w:val="000000"/>
          <w:sz w:val="28"/>
        </w:rPr>
        <w:t>
      - R.4.2. Разработка ключевых показателей эффективности (КПЭ) для каждой сферы политики, определенной в качестве стратегической, напр. политики стимулирования инвестиций, программ по взаимосвязи ПИИ-МСБ, развития МСБ.</w:t>
      </w:r>
      <w:r>
        <w:br/>
      </w:r>
      <w:r>
        <w:rPr>
          <w:rFonts w:ascii="Times New Roman"/>
          <w:b w:val="false"/>
          <w:i w:val="false"/>
          <w:color w:val="000000"/>
          <w:sz w:val="28"/>
        </w:rPr>
        <w:t>
      R.4.3. Разработка оценки субсидий для производителей. (PSE)</w:t>
      </w:r>
      <w:r>
        <w:br/>
      </w:r>
      <w:r>
        <w:rPr>
          <w:rFonts w:ascii="Times New Roman"/>
          <w:b w:val="false"/>
          <w:i w:val="false"/>
          <w:color w:val="000000"/>
          <w:sz w:val="28"/>
        </w:rPr>
        <w:t>
      34. Мероприятия</w:t>
      </w:r>
      <w:r>
        <w:br/>
      </w:r>
      <w:r>
        <w:rPr>
          <w:rFonts w:ascii="Times New Roman"/>
          <w:b w:val="false"/>
          <w:i w:val="false"/>
          <w:color w:val="000000"/>
          <w:sz w:val="28"/>
        </w:rPr>
        <w:t>
      - Основные мероприятия по R.4.1.</w:t>
      </w:r>
      <w:r>
        <w:br/>
      </w:r>
      <w:r>
        <w:rPr>
          <w:rFonts w:ascii="Times New Roman"/>
          <w:b w:val="false"/>
          <w:i w:val="false"/>
          <w:color w:val="000000"/>
          <w:sz w:val="28"/>
        </w:rPr>
        <w:t>
      - Определить общие цели системы мониторинга, особенно в отношении тех видов деятельности, которые нуждаются в регулярной оценке: политика стимулирования инвестиций, прогресс в сфере взаимосвязи ПИИ-МСБ и развитие МСБ.</w:t>
      </w:r>
      <w:r>
        <w:br/>
      </w:r>
      <w:r>
        <w:rPr>
          <w:rFonts w:ascii="Times New Roman"/>
          <w:b w:val="false"/>
          <w:i w:val="false"/>
          <w:color w:val="000000"/>
          <w:sz w:val="28"/>
        </w:rPr>
        <w:t>
      - Определить каким образом эти цели могут быть перенесены с национального уровня на региональный уровень.</w:t>
      </w:r>
      <w:r>
        <w:br/>
      </w:r>
      <w:r>
        <w:rPr>
          <w:rFonts w:ascii="Times New Roman"/>
          <w:b w:val="false"/>
          <w:i w:val="false"/>
          <w:color w:val="000000"/>
          <w:sz w:val="28"/>
        </w:rPr>
        <w:t>
      - Основные мероприятия по R.4.2.</w:t>
      </w:r>
      <w:r>
        <w:br/>
      </w:r>
      <w:r>
        <w:rPr>
          <w:rFonts w:ascii="Times New Roman"/>
          <w:b w:val="false"/>
          <w:i w:val="false"/>
          <w:color w:val="000000"/>
          <w:sz w:val="28"/>
        </w:rPr>
        <w:t>
      - Обзор передовых практик ОЭСР в области систем КПЭ для отобранных ключевых видов деятельности.</w:t>
      </w:r>
      <w:r>
        <w:br/>
      </w:r>
      <w:r>
        <w:rPr>
          <w:rFonts w:ascii="Times New Roman"/>
          <w:b w:val="false"/>
          <w:i w:val="false"/>
          <w:color w:val="000000"/>
          <w:sz w:val="28"/>
        </w:rPr>
        <w:t>
      - Консультации с ключевыми заинтересованными сторонами, в целях получения представления об особенностях Казахстана.</w:t>
      </w:r>
      <w:r>
        <w:br/>
      </w:r>
      <w:r>
        <w:rPr>
          <w:rFonts w:ascii="Times New Roman"/>
          <w:b w:val="false"/>
          <w:i w:val="false"/>
          <w:color w:val="000000"/>
          <w:sz w:val="28"/>
        </w:rPr>
        <w:t>
      - Соглашение по системе КПЭ как на национальном, так и на региональном уровнях, с учетом передовых практик ОЭСР и специфики Казахстана.</w:t>
      </w:r>
      <w:r>
        <w:br/>
      </w:r>
      <w:r>
        <w:rPr>
          <w:rFonts w:ascii="Times New Roman"/>
          <w:b w:val="false"/>
          <w:i w:val="false"/>
          <w:color w:val="000000"/>
          <w:sz w:val="28"/>
        </w:rPr>
        <w:t>
      </w:t>
      </w:r>
      <w:r>
        <w:rPr>
          <w:rFonts w:ascii="Times New Roman"/>
          <w:b w:val="false"/>
          <w:i/>
          <w:color w:val="000000"/>
          <w:sz w:val="28"/>
        </w:rPr>
        <w:t>3.2.5 Этап 1 - Компонент 5 - Методология</w:t>
      </w:r>
      <w:r>
        <w:br/>
      </w:r>
      <w:r>
        <w:rPr>
          <w:rFonts w:ascii="Times New Roman"/>
          <w:b w:val="false"/>
          <w:i w:val="false"/>
          <w:color w:val="000000"/>
          <w:sz w:val="28"/>
        </w:rPr>
        <w:t>
      35. Ожидаемые результаты</w:t>
      </w:r>
      <w:r>
        <w:br/>
      </w:r>
      <w:r>
        <w:rPr>
          <w:rFonts w:ascii="Times New Roman"/>
          <w:b w:val="false"/>
          <w:i w:val="false"/>
          <w:color w:val="000000"/>
          <w:sz w:val="28"/>
        </w:rPr>
        <w:t>
      - R.5.1. Действующие ключевые заинтересованные стороны в таких сферах политики как инвестиционная политика, управление АСИ, программы по взаимосвязи ПИИ-МСБ / политика в сфере развития МСБ, а также схемы мониторинга.</w:t>
      </w:r>
      <w:r>
        <w:br/>
      </w:r>
      <w:r>
        <w:rPr>
          <w:rFonts w:ascii="Times New Roman"/>
          <w:b w:val="false"/>
          <w:i w:val="false"/>
          <w:color w:val="000000"/>
          <w:sz w:val="28"/>
        </w:rPr>
        <w:t>
      36. Мероприятия</w:t>
      </w:r>
      <w:r>
        <w:br/>
      </w:r>
      <w:r>
        <w:rPr>
          <w:rFonts w:ascii="Times New Roman"/>
          <w:b w:val="false"/>
          <w:i w:val="false"/>
          <w:color w:val="000000"/>
          <w:sz w:val="28"/>
        </w:rPr>
        <w:t>
      - Основные мероприятия по R.5.1.</w:t>
      </w:r>
      <w:r>
        <w:br/>
      </w:r>
      <w:r>
        <w:rPr>
          <w:rFonts w:ascii="Times New Roman"/>
          <w:b w:val="false"/>
          <w:i w:val="false"/>
          <w:color w:val="000000"/>
          <w:sz w:val="28"/>
        </w:rPr>
        <w:t>
      - Стратегический аудит для определения приоритетных нужд в четырех политических сферах для различных ключевых игроков: тех, кто определяет политику на региональном уровне, торгово-промышленных палат, представителей МСБ.</w:t>
      </w:r>
      <w:r>
        <w:br/>
      </w:r>
      <w:r>
        <w:rPr>
          <w:rFonts w:ascii="Times New Roman"/>
          <w:b w:val="false"/>
          <w:i w:val="false"/>
          <w:color w:val="000000"/>
          <w:sz w:val="28"/>
        </w:rPr>
        <w:t>
      - Использование внутренних и внешних экспертных сообществ ОЭСР.</w:t>
      </w:r>
      <w:r>
        <w:br/>
      </w:r>
      <w:r>
        <w:rPr>
          <w:rFonts w:ascii="Times New Roman"/>
          <w:b w:val="false"/>
          <w:i w:val="false"/>
          <w:color w:val="000000"/>
          <w:sz w:val="28"/>
        </w:rPr>
        <w:t>
      - Обучение в высших учебных заведениях с признанной репутацией, таких как Объединенный Венский институт для руководителей МСБ и представителей государственных органов стран ОЭСР. Также может быть предусмотрено долгосрочное партнерство с отобранными учебными учреждениями. Тренинг и экспертные рекомендации будут обеспечиваться собственным специалистом ОЭСР, обладающим глубоким опытом и знаниями в четырех политических сферах.</w:t>
      </w:r>
      <w:r>
        <w:br/>
      </w:r>
      <w:r>
        <w:rPr>
          <w:rFonts w:ascii="Times New Roman"/>
          <w:b w:val="false"/>
          <w:i w:val="false"/>
          <w:color w:val="000000"/>
          <w:sz w:val="28"/>
        </w:rPr>
        <w:t>
      </w:t>
      </w:r>
      <w:r>
        <w:rPr>
          <w:rFonts w:ascii="Times New Roman"/>
          <w:b/>
          <w:i w:val="false"/>
          <w:color w:val="000000"/>
          <w:sz w:val="28"/>
        </w:rPr>
        <w:t>3.3 Методология этапов 2 и 3: ожидаемые результаты и основные мероприятия</w:t>
      </w:r>
      <w:r>
        <w:br/>
      </w:r>
      <w:r>
        <w:rPr>
          <w:rFonts w:ascii="Times New Roman"/>
          <w:b w:val="false"/>
          <w:i w:val="false"/>
          <w:color w:val="000000"/>
          <w:sz w:val="28"/>
        </w:rPr>
        <w:t>
      </w:t>
      </w:r>
      <w:r>
        <w:rPr>
          <w:rFonts w:ascii="Times New Roman"/>
          <w:b w:val="false"/>
          <w:i/>
          <w:color w:val="000000"/>
          <w:sz w:val="28"/>
        </w:rPr>
        <w:t>3.3.1 Этапы 2 и 3 - Компонент 1 - Методология</w:t>
      </w:r>
      <w:r>
        <w:br/>
      </w:r>
      <w:r>
        <w:rPr>
          <w:rFonts w:ascii="Times New Roman"/>
          <w:b w:val="false"/>
          <w:i w:val="false"/>
          <w:color w:val="000000"/>
          <w:sz w:val="28"/>
        </w:rPr>
        <w:t>
      37. Ожидаемые результаты</w:t>
      </w:r>
      <w:r>
        <w:br/>
      </w:r>
      <w:r>
        <w:rPr>
          <w:rFonts w:ascii="Times New Roman"/>
          <w:b w:val="false"/>
          <w:i w:val="false"/>
          <w:color w:val="000000"/>
          <w:sz w:val="28"/>
        </w:rPr>
        <w:t>
      - Этап 2 – для каждого из трех пилотных регионов</w:t>
      </w:r>
      <w:r>
        <w:br/>
      </w:r>
      <w:r>
        <w:rPr>
          <w:rFonts w:ascii="Times New Roman"/>
          <w:b w:val="false"/>
          <w:i w:val="false"/>
          <w:color w:val="000000"/>
          <w:sz w:val="28"/>
        </w:rPr>
        <w:t>
      - R.1.5.</w:t>
      </w:r>
      <w:r>
        <w:rPr>
          <w:rFonts w:ascii="Times New Roman"/>
          <w:b w:val="false"/>
          <w:i w:val="false"/>
          <w:color w:val="000000"/>
          <w:vertAlign w:val="superscript"/>
        </w:rPr>
        <w:t>8</w:t>
      </w:r>
      <w:r>
        <w:rPr>
          <w:rFonts w:ascii="Times New Roman"/>
          <w:b w:val="false"/>
          <w:i w:val="false"/>
          <w:color w:val="000000"/>
          <w:sz w:val="28"/>
        </w:rPr>
        <w:t xml:space="preserve"> Выбор двух ключевых секторов экономики с высоким потенциалом для иностранных инвестиций и развития МСБ.</w:t>
      </w:r>
      <w:r>
        <w:br/>
      </w:r>
      <w:r>
        <w:rPr>
          <w:rFonts w:ascii="Times New Roman"/>
          <w:b w:val="false"/>
          <w:i w:val="false"/>
          <w:color w:val="000000"/>
          <w:sz w:val="28"/>
        </w:rPr>
        <w:t>
      - R.1.7. Устранение политических барьеров, препятствующих развитию этих двух секторов с высоким потенциалом.</w:t>
      </w:r>
      <w:r>
        <w:br/>
      </w:r>
      <w:r>
        <w:rPr>
          <w:rFonts w:ascii="Times New Roman"/>
          <w:b w:val="false"/>
          <w:i w:val="false"/>
          <w:color w:val="000000"/>
          <w:sz w:val="28"/>
        </w:rPr>
        <w:t>
      - R.1.8. Лучшая информированность потенциальных иностранных инвесторов в отношении обоих ключевых секторов.</w:t>
      </w:r>
      <w:r>
        <w:br/>
      </w:r>
      <w:r>
        <w:rPr>
          <w:rFonts w:ascii="Times New Roman"/>
          <w:b w:val="false"/>
          <w:i w:val="false"/>
          <w:color w:val="000000"/>
          <w:sz w:val="28"/>
        </w:rPr>
        <w:t>
      - Этап 3 – для остальных 11 регионов</w:t>
      </w:r>
      <w:r>
        <w:br/>
      </w:r>
      <w:r>
        <w:rPr>
          <w:rFonts w:ascii="Times New Roman"/>
          <w:b w:val="false"/>
          <w:i w:val="false"/>
          <w:color w:val="000000"/>
          <w:sz w:val="28"/>
        </w:rPr>
        <w:t>
      - R.1.8. Поддержка региональных деятелей, определяющих политику, в осуществлении реформ и устранении политических барьеров в сферах экономической деятельности, определенных как имеющие большой потенциал.</w:t>
      </w:r>
      <w:r>
        <w:br/>
      </w:r>
      <w:r>
        <w:rPr>
          <w:rFonts w:ascii="Times New Roman"/>
          <w:b w:val="false"/>
          <w:i w:val="false"/>
          <w:color w:val="000000"/>
          <w:sz w:val="28"/>
        </w:rPr>
        <w:t>
      38. Мероприятия на Этапе 2 – для каждого из трех пилотных регионов</w:t>
      </w:r>
      <w:r>
        <w:br/>
      </w:r>
      <w:r>
        <w:rPr>
          <w:rFonts w:ascii="Times New Roman"/>
          <w:b w:val="false"/>
          <w:i w:val="false"/>
          <w:color w:val="000000"/>
          <w:sz w:val="28"/>
        </w:rPr>
        <w:t>
      - Основные мероприятия по R.1.5.</w:t>
      </w:r>
      <w:r>
        <w:br/>
      </w:r>
      <w:r>
        <w:rPr>
          <w:rFonts w:ascii="Times New Roman"/>
          <w:b w:val="false"/>
          <w:i w:val="false"/>
          <w:color w:val="000000"/>
          <w:sz w:val="28"/>
        </w:rPr>
        <w:t>
      - Консультации с региональными правительствами в целях согласования двух секторов, отобранных из окончательного списка ранее определенных секторов, на которых будут сфокусированы усилия, (см. R.1.2.).</w:t>
      </w:r>
      <w:r>
        <w:br/>
      </w:r>
      <w:r>
        <w:rPr>
          <w:rFonts w:ascii="Times New Roman"/>
          <w:b w:val="false"/>
          <w:i w:val="false"/>
          <w:color w:val="000000"/>
          <w:sz w:val="28"/>
        </w:rPr>
        <w:t>
      - Основные мероприятия по R.1.6.</w:t>
      </w:r>
      <w:r>
        <w:br/>
      </w:r>
      <w:r>
        <w:rPr>
          <w:rFonts w:ascii="Times New Roman"/>
          <w:b w:val="false"/>
          <w:i w:val="false"/>
          <w:color w:val="000000"/>
          <w:sz w:val="28"/>
        </w:rPr>
        <w:t>
      - Инициирование диалога между государством и частным сектором для двух отобранных секторов через рабочие группы для каждого сектора. В эти группы войдут представители частного сектора, регионального правительства, возможно, национального правительства, а также отраслевые эксперты из ОЭСР и зарубежных стран.</w:t>
      </w:r>
      <w:r>
        <w:br/>
      </w:r>
      <w:r>
        <w:rPr>
          <w:rFonts w:ascii="Times New Roman"/>
          <w:b w:val="false"/>
          <w:i w:val="false"/>
          <w:color w:val="000000"/>
          <w:sz w:val="28"/>
        </w:rPr>
        <w:t>
      - Рабочие группы перерабатывают рекомендации для конкретного сектора (см. R.1.2.) в реализуемые меры, напр. законы/нормативные документы на региональном или национальном уровне, направленные на устранение политических барьеров, препятствующих развитию МСБ и повышение конкурентоспособности региона для притока ПИИ в отобранные отрасли.</w:t>
      </w:r>
      <w:r>
        <w:br/>
      </w:r>
      <w:r>
        <w:rPr>
          <w:rFonts w:ascii="Times New Roman"/>
          <w:b w:val="false"/>
          <w:i w:val="false"/>
          <w:color w:val="000000"/>
          <w:sz w:val="28"/>
        </w:rPr>
        <w:t>
      - Основные мероприятия по R.1.7.</w:t>
      </w:r>
      <w:r>
        <w:br/>
      </w:r>
      <w:r>
        <w:rPr>
          <w:rFonts w:ascii="Times New Roman"/>
          <w:b w:val="false"/>
          <w:i w:val="false"/>
          <w:color w:val="000000"/>
          <w:sz w:val="28"/>
        </w:rPr>
        <w:t>
      - Поддержка ОЭСР (напр. через использование ее экспертного сообщества) и участие в конференциях по проблемам конкретных секторов и регионов, либо в презентациях, направленных на повышение информированности потенциальных внутренних и иностранных инвесторов об инвестиционных возможностях.</w:t>
      </w:r>
      <w:r>
        <w:br/>
      </w:r>
      <w:r>
        <w:rPr>
          <w:rFonts w:ascii="Times New Roman"/>
          <w:b w:val="false"/>
          <w:i w:val="false"/>
          <w:color w:val="000000"/>
          <w:sz w:val="28"/>
        </w:rPr>
        <w:t>
      39. Мероприятия на Этапе 3 – для остальных 11 регионов</w:t>
      </w:r>
      <w:r>
        <w:br/>
      </w:r>
      <w:r>
        <w:rPr>
          <w:rFonts w:ascii="Times New Roman"/>
          <w:b w:val="false"/>
          <w:i w:val="false"/>
          <w:color w:val="000000"/>
          <w:sz w:val="28"/>
        </w:rPr>
        <w:t>
      - Основные мероприятия по R.1.8.</w:t>
      </w:r>
      <w:r>
        <w:br/>
      </w:r>
      <w:r>
        <w:rPr>
          <w:rFonts w:ascii="Times New Roman"/>
          <w:b w:val="false"/>
          <w:i w:val="false"/>
          <w:color w:val="000000"/>
          <w:sz w:val="28"/>
        </w:rPr>
        <w:t>
      - Поддержка ОЭСР региональных ключевых заинтересованных сторон в выборе ключевых секторов, создании рабочих групп для трансформации рекомендаций для конкретного сектора в реализуемые меры, и обеспечение устойчивости этого механизма.</w:t>
      </w:r>
      <w:r>
        <w:br/>
      </w:r>
      <w:r>
        <w:rPr>
          <w:rFonts w:ascii="Times New Roman"/>
          <w:b w:val="false"/>
          <w:i w:val="false"/>
          <w:color w:val="000000"/>
          <w:sz w:val="28"/>
        </w:rPr>
        <w:t>
      - Поддержка «административного партнерства» между тремя пилотными регионами и остальными 11 регионами для стимулирования обмена опытом и извлеченными уроками, а также поощрение передачи ноу-хау по успешному осуществлению реформ.</w:t>
      </w:r>
      <w:r>
        <w:br/>
      </w:r>
      <w:r>
        <w:rPr>
          <w:rFonts w:ascii="Times New Roman"/>
          <w:b w:val="false"/>
          <w:i w:val="false"/>
          <w:color w:val="000000"/>
          <w:sz w:val="28"/>
        </w:rPr>
        <w:t>
_______________________</w:t>
      </w:r>
    </w:p>
    <w:p>
      <w:pPr>
        <w:spacing w:after="0"/>
        <w:ind w:left="0"/>
        <w:jc w:val="both"/>
      </w:pPr>
      <w:r>
        <w:rPr>
          <w:rFonts w:ascii="Times New Roman"/>
          <w:b w:val="false"/>
          <w:i w:val="false"/>
          <w:color w:val="000000"/>
          <w:vertAlign w:val="superscript"/>
        </w:rPr>
        <w:t>8</w:t>
      </w:r>
      <w:r>
        <w:rPr>
          <w:rFonts w:ascii="Times New Roman"/>
          <w:b w:val="false"/>
          <w:i w:val="false"/>
          <w:color w:val="000000"/>
          <w:sz w:val="28"/>
        </w:rPr>
        <w:t xml:space="preserve"> Результат (R) номер (у) компонента номер (х) обозначается как R.x.y</w:t>
      </w:r>
    </w:p>
    <w:p>
      <w:pPr>
        <w:spacing w:after="0"/>
        <w:ind w:left="0"/>
        <w:jc w:val="both"/>
      </w:pPr>
      <w:r>
        <w:rPr>
          <w:rFonts w:ascii="Times New Roman"/>
          <w:b w:val="false"/>
          <w:i w:val="false"/>
          <w:color w:val="000000"/>
          <w:sz w:val="28"/>
        </w:rPr>
        <w:t>      </w:t>
      </w:r>
      <w:r>
        <w:rPr>
          <w:rFonts w:ascii="Times New Roman"/>
          <w:b w:val="false"/>
          <w:i/>
          <w:color w:val="000000"/>
          <w:sz w:val="28"/>
        </w:rPr>
        <w:t>3.3.2 Этапы 2 и 3 - Компонент 2 - Методология</w:t>
      </w:r>
      <w:r>
        <w:br/>
      </w:r>
      <w:r>
        <w:rPr>
          <w:rFonts w:ascii="Times New Roman"/>
          <w:b w:val="false"/>
          <w:i w:val="false"/>
          <w:color w:val="000000"/>
          <w:sz w:val="28"/>
        </w:rPr>
        <w:t>
      40. Ожидаемые результаты</w:t>
      </w:r>
      <w:r>
        <w:br/>
      </w:r>
      <w:r>
        <w:rPr>
          <w:rFonts w:ascii="Times New Roman"/>
          <w:b w:val="false"/>
          <w:i w:val="false"/>
          <w:color w:val="000000"/>
          <w:sz w:val="28"/>
        </w:rPr>
        <w:t>
      - Этап 2 - для каждого из трех пилотных регионов</w:t>
      </w:r>
      <w:r>
        <w:br/>
      </w:r>
      <w:r>
        <w:rPr>
          <w:rFonts w:ascii="Times New Roman"/>
          <w:b w:val="false"/>
          <w:i w:val="false"/>
          <w:color w:val="000000"/>
          <w:sz w:val="28"/>
        </w:rPr>
        <w:t>
      - R.2.3. Создание сети региональных АСИ с эффективной и действенной схемой управления: три региональных АСИ взаимодействуют с национальным АСИ.</w:t>
      </w:r>
      <w:r>
        <w:br/>
      </w:r>
      <w:r>
        <w:rPr>
          <w:rFonts w:ascii="Times New Roman"/>
          <w:b w:val="false"/>
          <w:i w:val="false"/>
          <w:color w:val="000000"/>
          <w:sz w:val="28"/>
        </w:rPr>
        <w:t>
      - Этап 3 – для остальных 11 регионов</w:t>
      </w:r>
      <w:r>
        <w:br/>
      </w:r>
      <w:r>
        <w:rPr>
          <w:rFonts w:ascii="Times New Roman"/>
          <w:b w:val="false"/>
          <w:i w:val="false"/>
          <w:color w:val="000000"/>
          <w:sz w:val="28"/>
        </w:rPr>
        <w:t>
      - R.2.4. Создание региональными политиками целой сети региональных АСИ по всей стране, при поддержке и наставничестве ОЭСР.</w:t>
      </w:r>
      <w:r>
        <w:br/>
      </w:r>
      <w:r>
        <w:rPr>
          <w:rFonts w:ascii="Times New Roman"/>
          <w:b w:val="false"/>
          <w:i w:val="false"/>
          <w:color w:val="000000"/>
          <w:sz w:val="28"/>
        </w:rPr>
        <w:t>
      41. Мероприятия на Этапе 2 – для каждого из трех пилотных регионов</w:t>
      </w:r>
      <w:r>
        <w:br/>
      </w:r>
      <w:r>
        <w:rPr>
          <w:rFonts w:ascii="Times New Roman"/>
          <w:b w:val="false"/>
          <w:i w:val="false"/>
          <w:color w:val="000000"/>
          <w:sz w:val="28"/>
        </w:rPr>
        <w:t>
      - Основные мероприятия по R.2.3</w:t>
      </w:r>
      <w:r>
        <w:br/>
      </w:r>
      <w:r>
        <w:rPr>
          <w:rFonts w:ascii="Times New Roman"/>
          <w:b w:val="false"/>
          <w:i w:val="false"/>
          <w:color w:val="000000"/>
          <w:sz w:val="28"/>
        </w:rPr>
        <w:t>
      - Поддержка ОЭСР в создании руководящего комитета, включающего представителей Агентства по инвестиционной политике, представителей регионов, и специалистов ОЭСР по организации региональных АСИ.</w:t>
      </w:r>
      <w:r>
        <w:br/>
      </w:r>
      <w:r>
        <w:rPr>
          <w:rFonts w:ascii="Times New Roman"/>
          <w:b w:val="false"/>
          <w:i w:val="false"/>
          <w:color w:val="000000"/>
          <w:sz w:val="28"/>
        </w:rPr>
        <w:t>
      - Основные функции руководящего комитета, который будет регулярно собираться в течение Этапа II: определение схем финансирования (региональные или национальные источники финансирования) региональных АСИ, создание региональных и национальных законов или нормативных актов для учреждения региональных АСИ.</w:t>
      </w:r>
      <w:r>
        <w:br/>
      </w:r>
      <w:r>
        <w:rPr>
          <w:rFonts w:ascii="Times New Roman"/>
          <w:b w:val="false"/>
          <w:i w:val="false"/>
          <w:color w:val="000000"/>
          <w:sz w:val="28"/>
        </w:rPr>
        <w:t>
      - Поддержка ОЭСР на операционном и региональном уровнях, напр. помощь в точном определении кадровых потребностей.</w:t>
      </w:r>
      <w:r>
        <w:br/>
      </w:r>
      <w:r>
        <w:rPr>
          <w:rFonts w:ascii="Times New Roman"/>
          <w:b w:val="false"/>
          <w:i w:val="false"/>
          <w:color w:val="000000"/>
          <w:sz w:val="28"/>
        </w:rPr>
        <w:t>
      42. Мероприятия на Этапе 3 – для остальных 11 регионов</w:t>
      </w:r>
      <w:r>
        <w:br/>
      </w:r>
      <w:r>
        <w:rPr>
          <w:rFonts w:ascii="Times New Roman"/>
          <w:b w:val="false"/>
          <w:i w:val="false"/>
          <w:color w:val="000000"/>
          <w:sz w:val="28"/>
        </w:rPr>
        <w:t>
      - Основные мероприятия по R.2.4.</w:t>
      </w:r>
      <w:r>
        <w:br/>
      </w:r>
      <w:r>
        <w:rPr>
          <w:rFonts w:ascii="Times New Roman"/>
          <w:b w:val="false"/>
          <w:i w:val="false"/>
          <w:color w:val="000000"/>
          <w:sz w:val="28"/>
        </w:rPr>
        <w:t>
      - Поддержка соответствующих органов в остальных 11 регионах в целях создания сети АСИ, следуя общему подходу, описанному в R.2.3. выше.</w:t>
      </w:r>
      <w:r>
        <w:br/>
      </w:r>
      <w:r>
        <w:rPr>
          <w:rFonts w:ascii="Times New Roman"/>
          <w:b w:val="false"/>
          <w:i w:val="false"/>
          <w:color w:val="000000"/>
          <w:sz w:val="28"/>
        </w:rPr>
        <w:t>
      - Установление «административного партнерства» между тремя пилотными регионами и остальными 11 регионами для стимулирования обмена опытом и взаимного обучения.</w:t>
      </w:r>
      <w:r>
        <w:br/>
      </w:r>
      <w:r>
        <w:rPr>
          <w:rFonts w:ascii="Times New Roman"/>
          <w:b w:val="false"/>
          <w:i w:val="false"/>
          <w:color w:val="000000"/>
          <w:sz w:val="28"/>
        </w:rPr>
        <w:t>
      </w:t>
      </w:r>
      <w:r>
        <w:rPr>
          <w:rFonts w:ascii="Times New Roman"/>
          <w:b w:val="false"/>
          <w:i/>
          <w:color w:val="000000"/>
          <w:sz w:val="28"/>
        </w:rPr>
        <w:t>3.3.3 Этапы 2 и 3 - Компонент 3 - Методология</w:t>
      </w:r>
      <w:r>
        <w:br/>
      </w:r>
      <w:r>
        <w:rPr>
          <w:rFonts w:ascii="Times New Roman"/>
          <w:b w:val="false"/>
          <w:i w:val="false"/>
          <w:color w:val="000000"/>
          <w:sz w:val="28"/>
        </w:rPr>
        <w:t>
      43. Ожидаемые результаты Этапа 2 – для каждого из трех пилотных регионов</w:t>
      </w:r>
      <w:r>
        <w:br/>
      </w:r>
      <w:r>
        <w:rPr>
          <w:rFonts w:ascii="Times New Roman"/>
          <w:b w:val="false"/>
          <w:i w:val="false"/>
          <w:color w:val="000000"/>
          <w:sz w:val="28"/>
        </w:rPr>
        <w:t>
      - R.3.2. Проект базовой структуры и организации программы по взаимосвязи МСБ-ПИИ.</w:t>
      </w:r>
      <w:r>
        <w:br/>
      </w:r>
      <w:r>
        <w:rPr>
          <w:rFonts w:ascii="Times New Roman"/>
          <w:b w:val="false"/>
          <w:i w:val="false"/>
          <w:color w:val="000000"/>
          <w:sz w:val="28"/>
        </w:rPr>
        <w:t>
      - R.3.3. Разработка и запуск программы ПИИ-МСБ.</w:t>
      </w:r>
      <w:r>
        <w:br/>
      </w:r>
      <w:r>
        <w:rPr>
          <w:rFonts w:ascii="Times New Roman"/>
          <w:b w:val="false"/>
          <w:i w:val="false"/>
          <w:color w:val="000000"/>
          <w:sz w:val="28"/>
        </w:rPr>
        <w:t>
      44. Ожидаемые результаты Этапа 3 – для остальных 11 регионов</w:t>
      </w:r>
      <w:r>
        <w:br/>
      </w:r>
      <w:r>
        <w:rPr>
          <w:rFonts w:ascii="Times New Roman"/>
          <w:b w:val="false"/>
          <w:i w:val="false"/>
          <w:color w:val="000000"/>
          <w:sz w:val="28"/>
        </w:rPr>
        <w:t>
      - R.3.4. Разработка и запуск программы ПИИ-МСБ. Это должно быть реализовано региональными правительствами при поддержке ОЭСР.</w:t>
      </w:r>
      <w:r>
        <w:br/>
      </w:r>
      <w:r>
        <w:rPr>
          <w:rFonts w:ascii="Times New Roman"/>
          <w:b w:val="false"/>
          <w:i w:val="false"/>
          <w:color w:val="000000"/>
          <w:sz w:val="28"/>
        </w:rPr>
        <w:t>
      45. Мероприятия на Этапе 2 – для каждого из трех пилотных регионов</w:t>
      </w:r>
      <w:r>
        <w:br/>
      </w:r>
      <w:r>
        <w:rPr>
          <w:rFonts w:ascii="Times New Roman"/>
          <w:b w:val="false"/>
          <w:i w:val="false"/>
          <w:color w:val="000000"/>
          <w:sz w:val="28"/>
        </w:rPr>
        <w:t>
      - Основные мероприятия по R.3.2</w:t>
      </w:r>
      <w:r>
        <w:br/>
      </w:r>
      <w:r>
        <w:rPr>
          <w:rFonts w:ascii="Times New Roman"/>
          <w:b w:val="false"/>
          <w:i w:val="false"/>
          <w:color w:val="000000"/>
          <w:sz w:val="28"/>
        </w:rPr>
        <w:t>
      - Выбор двух ключевых секторов экономики с высоким потенциалом привлечения ПИИ и развития МСБ, использование данных из региональных инвестиционных планов (см. R.1.5).</w:t>
      </w:r>
      <w:r>
        <w:br/>
      </w:r>
      <w:r>
        <w:rPr>
          <w:rFonts w:ascii="Times New Roman"/>
          <w:b w:val="false"/>
          <w:i w:val="false"/>
          <w:color w:val="000000"/>
          <w:sz w:val="28"/>
        </w:rPr>
        <w:t>
      - Определение потенциальных местных и иностранных участников регионального координационного комитета (транснациональные компании и местный МСБ) посредством совместных исследований с ключевыми региональными заинтересованными сторонами, напр. торгово-промышленными палатами.</w:t>
      </w:r>
      <w:r>
        <w:br/>
      </w:r>
      <w:r>
        <w:rPr>
          <w:rFonts w:ascii="Times New Roman"/>
          <w:b w:val="false"/>
          <w:i w:val="false"/>
          <w:color w:val="000000"/>
          <w:sz w:val="28"/>
        </w:rPr>
        <w:t>
      - Начало работы двух региональных координационных комитетов, по одному для каждого из отобранных секторов, включающих региональных представителей, региональных бизнес-посредников, иностранные компании и экспертов ОЭСР. Комитеты будут функционировать как рабочие группы для контроля за запуском программ по взаимосвязи МСБПИИ в каждом секторе.</w:t>
      </w:r>
      <w:r>
        <w:br/>
      </w:r>
      <w:r>
        <w:rPr>
          <w:rFonts w:ascii="Times New Roman"/>
          <w:b w:val="false"/>
          <w:i w:val="false"/>
          <w:color w:val="000000"/>
          <w:sz w:val="28"/>
        </w:rPr>
        <w:t>
      - Предоставление информации о передовых практиках в связи с ресурсами, необходимыми для такой программы, в том числе кадровыми ресурсами и разнообразными расходами, в целях оказания помощи региональному координационному комитету завершить составление бюджета программы.</w:t>
      </w:r>
      <w:r>
        <w:br/>
      </w:r>
      <w:r>
        <w:rPr>
          <w:rFonts w:ascii="Times New Roman"/>
          <w:b w:val="false"/>
          <w:i w:val="false"/>
          <w:color w:val="000000"/>
          <w:sz w:val="28"/>
        </w:rPr>
        <w:t>
      - Поддержка эффективного учреждения рабочих офисов проекта и центра (центров) бизнес-связей (могут быть необходимы один или два центра в зависимости от двух выбранных секторов).</w:t>
      </w:r>
      <w:r>
        <w:br/>
      </w:r>
      <w:r>
        <w:rPr>
          <w:rFonts w:ascii="Times New Roman"/>
          <w:b w:val="false"/>
          <w:i w:val="false"/>
          <w:color w:val="000000"/>
          <w:sz w:val="28"/>
        </w:rPr>
        <w:t>
      - Оказание поддержки оперативным группам программы для создания всеобъемлющих баз данных местных МСП, которые могут использоваться потенциальными иностранными инвесторами.</w:t>
      </w:r>
      <w:r>
        <w:br/>
      </w:r>
      <w:r>
        <w:rPr>
          <w:rFonts w:ascii="Times New Roman"/>
          <w:b w:val="false"/>
          <w:i w:val="false"/>
          <w:color w:val="000000"/>
          <w:sz w:val="28"/>
        </w:rPr>
        <w:t>
      - Основные мероприятия по R.3.3.</w:t>
      </w:r>
      <w:r>
        <w:br/>
      </w:r>
      <w:r>
        <w:rPr>
          <w:rFonts w:ascii="Times New Roman"/>
          <w:b w:val="false"/>
          <w:i w:val="false"/>
          <w:color w:val="000000"/>
          <w:sz w:val="28"/>
        </w:rPr>
        <w:t>
      - Оказание поддержки оперативным группам программы в обращении к соответствующим иностранным компаниями в обоих ключевых секторах с высоким потенциалом.</w:t>
      </w:r>
      <w:r>
        <w:br/>
      </w:r>
      <w:r>
        <w:rPr>
          <w:rFonts w:ascii="Times New Roman"/>
          <w:b w:val="false"/>
          <w:i w:val="false"/>
          <w:color w:val="000000"/>
          <w:sz w:val="28"/>
        </w:rPr>
        <w:t>
      - Оказание поддержки оперативным группам программы в выработке правильной стратегии в отношении иностранных компаний в целях повышения потенциала региона и возможностей развития МСБ.</w:t>
      </w:r>
      <w:r>
        <w:br/>
      </w:r>
      <w:r>
        <w:rPr>
          <w:rFonts w:ascii="Times New Roman"/>
          <w:b w:val="false"/>
          <w:i w:val="false"/>
          <w:color w:val="000000"/>
          <w:sz w:val="28"/>
        </w:rPr>
        <w:t>
      - Оказание поддержки оперативным группам в других коммуникационных мероприятиях: форумы, кампании в СМИ, интерактивные базы данных для увязки потребностей в ПИИ и регионального потенциала МСБ.</w:t>
      </w:r>
      <w:r>
        <w:br/>
      </w:r>
      <w:r>
        <w:rPr>
          <w:rFonts w:ascii="Times New Roman"/>
          <w:b w:val="false"/>
          <w:i w:val="false"/>
          <w:color w:val="000000"/>
          <w:sz w:val="28"/>
        </w:rPr>
        <w:t>
      46. Мероприятия на Этапе 3 – для остальных 11 регионов</w:t>
      </w:r>
      <w:r>
        <w:br/>
      </w:r>
      <w:r>
        <w:rPr>
          <w:rFonts w:ascii="Times New Roman"/>
          <w:b w:val="false"/>
          <w:i w:val="false"/>
          <w:color w:val="000000"/>
          <w:sz w:val="28"/>
        </w:rPr>
        <w:t>
      - Основные мероприятия по R.3.4.</w:t>
      </w:r>
      <w:r>
        <w:br/>
      </w:r>
      <w:r>
        <w:rPr>
          <w:rFonts w:ascii="Times New Roman"/>
          <w:b w:val="false"/>
          <w:i w:val="false"/>
          <w:color w:val="000000"/>
          <w:sz w:val="28"/>
        </w:rPr>
        <w:t>
      - Поддержка соответствующих органов в остальных 11 регионах в целях разработки и запуска программ МСБПИИ, следуя общему подходу, описанному в R.3.3.</w:t>
      </w:r>
      <w:r>
        <w:br/>
      </w:r>
      <w:r>
        <w:rPr>
          <w:rFonts w:ascii="Times New Roman"/>
          <w:b w:val="false"/>
          <w:i w:val="false"/>
          <w:color w:val="000000"/>
          <w:sz w:val="28"/>
        </w:rPr>
        <w:t>
      - Установление «административного партнерства» между тремя пилотными регионами и остальными 11 регионами для стимулирования обмена опытом и взаимного обучения.</w:t>
      </w:r>
      <w:r>
        <w:br/>
      </w:r>
      <w:r>
        <w:rPr>
          <w:rFonts w:ascii="Times New Roman"/>
          <w:b w:val="false"/>
          <w:i w:val="false"/>
          <w:color w:val="000000"/>
          <w:sz w:val="28"/>
        </w:rPr>
        <w:t>
      </w:t>
      </w:r>
      <w:r>
        <w:rPr>
          <w:rFonts w:ascii="Times New Roman"/>
          <w:b w:val="false"/>
          <w:i/>
          <w:color w:val="000000"/>
          <w:sz w:val="28"/>
        </w:rPr>
        <w:t>3.3.4 Этапы 2 и 3 - Компонент 4 - Методология</w:t>
      </w:r>
      <w:r>
        <w:br/>
      </w:r>
      <w:r>
        <w:rPr>
          <w:rFonts w:ascii="Times New Roman"/>
          <w:b w:val="false"/>
          <w:i w:val="false"/>
          <w:color w:val="000000"/>
          <w:sz w:val="28"/>
        </w:rPr>
        <w:t>
      47. Ожидаемые результаты Этапа 2 – для каждого из трех пилотных регионов</w:t>
      </w:r>
      <w:r>
        <w:br/>
      </w:r>
      <w:r>
        <w:rPr>
          <w:rFonts w:ascii="Times New Roman"/>
          <w:b w:val="false"/>
          <w:i w:val="false"/>
          <w:color w:val="000000"/>
          <w:sz w:val="28"/>
        </w:rPr>
        <w:t>
      - R.4.3. Разработка рабочей системы КПЭ как на региональном, так и на национальном уровне.</w:t>
      </w:r>
      <w:r>
        <w:br/>
      </w:r>
      <w:r>
        <w:rPr>
          <w:rFonts w:ascii="Times New Roman"/>
          <w:b w:val="false"/>
          <w:i w:val="false"/>
          <w:color w:val="000000"/>
          <w:sz w:val="28"/>
        </w:rPr>
        <w:t>
      48. Ожидаемые результаты Этапа 3 – в остальных 11 регионах</w:t>
      </w:r>
      <w:r>
        <w:br/>
      </w:r>
      <w:r>
        <w:rPr>
          <w:rFonts w:ascii="Times New Roman"/>
          <w:b w:val="false"/>
          <w:i w:val="false"/>
          <w:color w:val="000000"/>
          <w:sz w:val="28"/>
        </w:rPr>
        <w:t>
      - R.4.4. Запуск системы мониторинга. Это должно быть реализовано региональными правительствами при поддержке ОЭСР.</w:t>
      </w:r>
      <w:r>
        <w:br/>
      </w:r>
      <w:r>
        <w:rPr>
          <w:rFonts w:ascii="Times New Roman"/>
          <w:b w:val="false"/>
          <w:i w:val="false"/>
          <w:color w:val="000000"/>
          <w:sz w:val="28"/>
        </w:rPr>
        <w:t>
      49. Мероприятия на Этапе 2 – для каждого из трех пилотных регионов</w:t>
      </w:r>
      <w:r>
        <w:br/>
      </w:r>
      <w:r>
        <w:rPr>
          <w:rFonts w:ascii="Times New Roman"/>
          <w:b w:val="false"/>
          <w:i w:val="false"/>
          <w:color w:val="000000"/>
          <w:sz w:val="28"/>
        </w:rPr>
        <w:t>
      - Основные мероприятия по R.4.3.</w:t>
      </w:r>
      <w:r>
        <w:br/>
      </w:r>
      <w:r>
        <w:rPr>
          <w:rFonts w:ascii="Times New Roman"/>
          <w:b w:val="false"/>
          <w:i w:val="false"/>
          <w:color w:val="000000"/>
          <w:sz w:val="28"/>
        </w:rPr>
        <w:t>
      - Определение обязанностей по мониторингу, порядка подотчетности и коммуникационных потоков для каждого из отобранных мероприятий (политика стимулирования инвестиций, программы по взаимосвязи ПИИМСБ, развитие МСБ) как на региональном, так и на национальном уровне.</w:t>
      </w:r>
      <w:r>
        <w:br/>
      </w:r>
      <w:r>
        <w:rPr>
          <w:rFonts w:ascii="Times New Roman"/>
          <w:b w:val="false"/>
          <w:i w:val="false"/>
          <w:color w:val="000000"/>
          <w:sz w:val="28"/>
        </w:rPr>
        <w:t>
      - Проведение оценки последствий в отношении потребностей в кадрах, после составления списка персонала, занятого оценкой и мониторингом отобранных мероприятий.</w:t>
      </w:r>
      <w:r>
        <w:br/>
      </w:r>
      <w:r>
        <w:rPr>
          <w:rFonts w:ascii="Times New Roman"/>
          <w:b w:val="false"/>
          <w:i w:val="false"/>
          <w:color w:val="000000"/>
          <w:sz w:val="28"/>
        </w:rPr>
        <w:t>
      - Консультации с ключевыми региональными заинтересованными сторонами для достижения соглашения о финансировании, и по вопросам, связанным с нормативной базой.</w:t>
      </w:r>
      <w:r>
        <w:br/>
      </w:r>
      <w:r>
        <w:rPr>
          <w:rFonts w:ascii="Times New Roman"/>
          <w:b w:val="false"/>
          <w:i w:val="false"/>
          <w:color w:val="000000"/>
          <w:sz w:val="28"/>
        </w:rPr>
        <w:t>
      - Оказание поддержки в создании групп по мониторингу.</w:t>
      </w:r>
      <w:r>
        <w:br/>
      </w:r>
      <w:r>
        <w:rPr>
          <w:rFonts w:ascii="Times New Roman"/>
          <w:b w:val="false"/>
          <w:i w:val="false"/>
          <w:color w:val="000000"/>
          <w:sz w:val="28"/>
        </w:rPr>
        <w:t>
      50. Мероприятия на Этапе 3 – в остальных 11 регионах</w:t>
      </w:r>
      <w:r>
        <w:br/>
      </w:r>
      <w:r>
        <w:rPr>
          <w:rFonts w:ascii="Times New Roman"/>
          <w:b w:val="false"/>
          <w:i w:val="false"/>
          <w:color w:val="000000"/>
          <w:sz w:val="28"/>
        </w:rPr>
        <w:t>
      - Основные мероприятия по R.4.4.</w:t>
      </w:r>
      <w:r>
        <w:br/>
      </w:r>
      <w:r>
        <w:rPr>
          <w:rFonts w:ascii="Times New Roman"/>
          <w:b w:val="false"/>
          <w:i w:val="false"/>
          <w:color w:val="000000"/>
          <w:sz w:val="28"/>
        </w:rPr>
        <w:t>
      - Поддержка соответствующих органов в остальных 11 регионах в целях запуска программ мониторинга, следуя общему подходу, описанному в R.4.3.</w:t>
      </w:r>
      <w:r>
        <w:br/>
      </w:r>
      <w:r>
        <w:rPr>
          <w:rFonts w:ascii="Times New Roman"/>
          <w:b w:val="false"/>
          <w:i w:val="false"/>
          <w:color w:val="000000"/>
          <w:sz w:val="28"/>
        </w:rPr>
        <w:t>
      - Установление «административного партнерства» между тремя пилотными регионами и остальными 11 регионами для стимулирования обмена опытом и взаимного обучения.</w:t>
      </w:r>
      <w:r>
        <w:br/>
      </w:r>
      <w:r>
        <w:rPr>
          <w:rFonts w:ascii="Times New Roman"/>
          <w:b w:val="false"/>
          <w:i w:val="false"/>
          <w:color w:val="000000"/>
          <w:sz w:val="28"/>
        </w:rPr>
        <w:t>
      </w:t>
      </w:r>
      <w:r>
        <w:rPr>
          <w:rFonts w:ascii="Times New Roman"/>
          <w:b w:val="false"/>
          <w:i/>
          <w:color w:val="000000"/>
          <w:sz w:val="28"/>
        </w:rPr>
        <w:t>3.3.5 Этапы 2 &amp; 3 - Компонент 5 - Методология</w:t>
      </w:r>
      <w:r>
        <w:br/>
      </w:r>
      <w:r>
        <w:rPr>
          <w:rFonts w:ascii="Times New Roman"/>
          <w:b w:val="false"/>
          <w:i w:val="false"/>
          <w:color w:val="000000"/>
          <w:sz w:val="28"/>
        </w:rPr>
        <w:t>
      51. Ожидаемые результаты</w:t>
      </w:r>
      <w:r>
        <w:br/>
      </w:r>
      <w:r>
        <w:rPr>
          <w:rFonts w:ascii="Times New Roman"/>
          <w:b w:val="false"/>
          <w:i w:val="false"/>
          <w:color w:val="000000"/>
          <w:sz w:val="28"/>
        </w:rPr>
        <w:t>
      - R.5.2. Действующие ключевые заинтересованные стороны в четырех сферах политики: инвестиционная политика, управление АСИ, программы по взаимосвязи ПИИ-МСБ, политика в сфере развития МСБ и схемы мониторинга.</w:t>
      </w:r>
      <w:r>
        <w:br/>
      </w:r>
      <w:r>
        <w:rPr>
          <w:rFonts w:ascii="Times New Roman"/>
          <w:b w:val="false"/>
          <w:i w:val="false"/>
          <w:color w:val="000000"/>
          <w:sz w:val="28"/>
        </w:rPr>
        <w:t>
      52. Мероприятия</w:t>
      </w:r>
      <w:r>
        <w:br/>
      </w:r>
      <w:r>
        <w:rPr>
          <w:rFonts w:ascii="Times New Roman"/>
          <w:b w:val="false"/>
          <w:i w:val="false"/>
          <w:color w:val="000000"/>
          <w:sz w:val="28"/>
        </w:rPr>
        <w:t>
      - Основные мероприятия по R.5.2.</w:t>
      </w:r>
      <w:r>
        <w:br/>
      </w:r>
      <w:r>
        <w:rPr>
          <w:rFonts w:ascii="Times New Roman"/>
          <w:b w:val="false"/>
          <w:i w:val="false"/>
          <w:color w:val="000000"/>
          <w:sz w:val="28"/>
        </w:rPr>
        <w:t>
      - Стратегический аудит для определения приоритетных нужд в четырех политических сферах для различных ключевых игроков: тех, кто определяет политику на региональном уровне, торгово-промышленных палат, представителей МСБ.</w:t>
      </w:r>
      <w:r>
        <w:br/>
      </w:r>
      <w:r>
        <w:rPr>
          <w:rFonts w:ascii="Times New Roman"/>
          <w:b w:val="false"/>
          <w:i w:val="false"/>
          <w:color w:val="000000"/>
          <w:sz w:val="28"/>
        </w:rPr>
        <w:t>
      - Использование внутренних и внешних экспертных сообществ ОЭСР.</w:t>
      </w:r>
      <w:r>
        <w:br/>
      </w:r>
      <w:r>
        <w:rPr>
          <w:rFonts w:ascii="Times New Roman"/>
          <w:b w:val="false"/>
          <w:i w:val="false"/>
          <w:color w:val="000000"/>
          <w:sz w:val="28"/>
        </w:rPr>
        <w:t>
      - Обучение в высших учебных заведениях с признанной репутацией, таких как Объединенный Венский институт для руководителей МСБ и представителей государственных органов стран ОЭСР. Также может быть предусмотрено долгосрочное партнерство с отобранными учебными учреждениями. Тренинг и экспертные рекомендации будут обеспечиваться собственным специалистом ОЭСР, обладающим глубоким опытом и знаниями в названных четырех политических сферах.</w:t>
      </w:r>
    </w:p>
    <w:p>
      <w:pPr>
        <w:spacing w:after="0"/>
        <w:ind w:left="0"/>
        <w:jc w:val="left"/>
      </w:pPr>
      <w:r>
        <w:rPr>
          <w:rFonts w:ascii="Times New Roman"/>
          <w:b/>
          <w:i w:val="false"/>
          <w:color w:val="000000"/>
        </w:rPr>
        <w:t xml:space="preserve"> 4. ПРОДОЛЖИТЕЛЬНОСТЬ И ИНДИКАТИВНЫЙ ПЛАН ДЕЙСТВИЯ</w:t>
      </w:r>
      <w:r>
        <w:br/>
      </w:r>
      <w:r>
        <w:rPr>
          <w:rFonts w:ascii="Times New Roman"/>
          <w:b/>
          <w:i w:val="false"/>
          <w:color w:val="000000"/>
        </w:rPr>
        <w:t>
ДЛЯ РЕАЛИЗАЦИИ ПРОЕКТА</w:t>
      </w:r>
    </w:p>
    <w:p>
      <w:pPr>
        <w:spacing w:after="0"/>
        <w:ind w:left="0"/>
        <w:jc w:val="both"/>
      </w:pPr>
      <w:r>
        <w:rPr>
          <w:rFonts w:ascii="Times New Roman"/>
          <w:b w:val="false"/>
          <w:i w:val="false"/>
          <w:color w:val="000000"/>
          <w:sz w:val="28"/>
        </w:rPr>
        <w:t>      </w:t>
      </w:r>
      <w:r>
        <w:rPr>
          <w:rFonts w:ascii="Times New Roman"/>
          <w:b/>
          <w:i w:val="false"/>
          <w:color w:val="000000"/>
          <w:sz w:val="28"/>
        </w:rPr>
        <w:t>4.1 Предполагаемая продолжительность проекта</w:t>
      </w:r>
    </w:p>
    <w:p>
      <w:pPr>
        <w:spacing w:after="0"/>
        <w:ind w:left="0"/>
        <w:jc w:val="both"/>
      </w:pPr>
      <w:r>
        <w:rPr>
          <w:rFonts w:ascii="Times New Roman"/>
          <w:b w:val="false"/>
          <w:i w:val="false"/>
          <w:color w:val="000000"/>
          <w:sz w:val="28"/>
        </w:rPr>
        <w:t>      53. Предполагаемая продолжительность проекта составляет 42 месяца и включает 3 этапа (этапы 1 и 2 частично совпадают), следующим образом:</w:t>
      </w:r>
      <w:r>
        <w:br/>
      </w:r>
      <w:r>
        <w:rPr>
          <w:rFonts w:ascii="Times New Roman"/>
          <w:b w:val="false"/>
          <w:i w:val="false"/>
          <w:color w:val="000000"/>
          <w:sz w:val="28"/>
        </w:rPr>
        <w:t>
      - Этап 1: 18 месяцев</w:t>
      </w:r>
      <w:r>
        <w:br/>
      </w:r>
      <w:r>
        <w:rPr>
          <w:rFonts w:ascii="Times New Roman"/>
          <w:b w:val="false"/>
          <w:i w:val="false"/>
          <w:color w:val="000000"/>
          <w:sz w:val="28"/>
        </w:rPr>
        <w:t>
      - Этап 2: 18 месяцев</w:t>
      </w:r>
      <w:r>
        <w:br/>
      </w:r>
      <w:r>
        <w:rPr>
          <w:rFonts w:ascii="Times New Roman"/>
          <w:b w:val="false"/>
          <w:i w:val="false"/>
          <w:color w:val="000000"/>
          <w:sz w:val="28"/>
        </w:rPr>
        <w:t>
      - Этап 3: 12 месяцев</w:t>
      </w:r>
    </w:p>
    <w:p>
      <w:pPr>
        <w:spacing w:after="0"/>
        <w:ind w:left="0"/>
        <w:jc w:val="both"/>
      </w:pPr>
      <w:r>
        <w:rPr>
          <w:rFonts w:ascii="Times New Roman"/>
          <w:b w:val="false"/>
          <w:i w:val="false"/>
          <w:color w:val="000000"/>
          <w:sz w:val="28"/>
        </w:rPr>
        <w:t>      </w:t>
      </w:r>
      <w:r>
        <w:rPr>
          <w:rFonts w:ascii="Times New Roman"/>
          <w:b/>
          <w:i w:val="false"/>
          <w:color w:val="000000"/>
          <w:sz w:val="28"/>
        </w:rPr>
        <w:t>4.2. Предварительный план действий</w:t>
      </w:r>
    </w:p>
    <w:p>
      <w:pPr>
        <w:spacing w:after="0"/>
        <w:ind w:left="0"/>
        <w:jc w:val="both"/>
      </w:pPr>
      <w:r>
        <w:drawing>
          <wp:inline distT="0" distB="0" distL="0" distR="0">
            <wp:extent cx="59944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94400" cy="31369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4.3 Общий обзор бюджета</w:t>
      </w:r>
    </w:p>
    <w:p>
      <w:pPr>
        <w:spacing w:after="0"/>
        <w:ind w:left="0"/>
        <w:jc w:val="both"/>
      </w:pPr>
      <w:r>
        <w:rPr>
          <w:rFonts w:ascii="Times New Roman"/>
          <w:b w:val="false"/>
          <w:i w:val="false"/>
          <w:color w:val="000000"/>
          <w:sz w:val="28"/>
        </w:rPr>
        <w:t>      54. См. Приложение 1.</w:t>
      </w:r>
    </w:p>
    <w:p>
      <w:pPr>
        <w:spacing w:after="0"/>
        <w:ind w:left="0"/>
        <w:jc w:val="both"/>
      </w:pPr>
      <w:r>
        <w:rPr>
          <w:rFonts w:ascii="Times New Roman"/>
          <w:b w:val="false"/>
          <w:i w:val="false"/>
          <w:color w:val="000000"/>
          <w:sz w:val="28"/>
        </w:rPr>
        <w:t>      </w:t>
      </w:r>
      <w:r>
        <w:rPr>
          <w:rFonts w:ascii="Times New Roman"/>
          <w:b/>
          <w:i w:val="false"/>
          <w:color w:val="000000"/>
          <w:sz w:val="28"/>
        </w:rPr>
        <w:t>4.4 Публикации и другие результаты</w:t>
      </w:r>
    </w:p>
    <w:p>
      <w:pPr>
        <w:spacing w:after="0"/>
        <w:ind w:left="0"/>
        <w:jc w:val="both"/>
      </w:pPr>
      <w:r>
        <w:rPr>
          <w:rFonts w:ascii="Times New Roman"/>
          <w:b w:val="false"/>
          <w:i w:val="false"/>
          <w:color w:val="000000"/>
          <w:sz w:val="28"/>
        </w:rPr>
        <w:t>      - Сводный отчет будет опубликован в конце Этапа I, в нем будет содержаться вся собранная информация и основные данные из Территориального обзора Казахстана.</w:t>
      </w:r>
      <w:r>
        <w:br/>
      </w:r>
      <w:r>
        <w:rPr>
          <w:rFonts w:ascii="Times New Roman"/>
          <w:b w:val="false"/>
          <w:i w:val="false"/>
          <w:color w:val="000000"/>
          <w:sz w:val="28"/>
        </w:rPr>
        <w:t>
      - Разработка региональной Стратегии стимулирования инвестиций и соответствующих планов действий для регионов Казахстана, базируясь на:</w:t>
      </w:r>
      <w:r>
        <w:br/>
      </w:r>
      <w:r>
        <w:rPr>
          <w:rFonts w:ascii="Times New Roman"/>
          <w:b w:val="false"/>
          <w:i w:val="false"/>
          <w:color w:val="000000"/>
          <w:sz w:val="28"/>
        </w:rPr>
        <w:t>
      - секторах с самым высоким потенциалом для роста каждого региона;</w:t>
      </w:r>
      <w:r>
        <w:br/>
      </w:r>
      <w:r>
        <w:rPr>
          <w:rFonts w:ascii="Times New Roman"/>
          <w:b w:val="false"/>
          <w:i w:val="false"/>
          <w:color w:val="000000"/>
          <w:sz w:val="28"/>
        </w:rPr>
        <w:t>
      - анализе секторной динамики;</w:t>
      </w:r>
      <w:r>
        <w:br/>
      </w:r>
      <w:r>
        <w:rPr>
          <w:rFonts w:ascii="Times New Roman"/>
          <w:b w:val="false"/>
          <w:i w:val="false"/>
          <w:color w:val="000000"/>
          <w:sz w:val="28"/>
        </w:rPr>
        <w:t>
      - анализе SWOT;</w:t>
      </w:r>
      <w:r>
        <w:br/>
      </w:r>
      <w:r>
        <w:rPr>
          <w:rFonts w:ascii="Times New Roman"/>
          <w:b w:val="false"/>
          <w:i w:val="false"/>
          <w:color w:val="000000"/>
          <w:sz w:val="28"/>
        </w:rPr>
        <w:t>
      - ключевых факторах успеха.</w:t>
      </w:r>
      <w:r>
        <w:br/>
      </w:r>
      <w:r>
        <w:rPr>
          <w:rFonts w:ascii="Times New Roman"/>
          <w:b w:val="false"/>
          <w:i w:val="false"/>
          <w:color w:val="000000"/>
          <w:sz w:val="28"/>
        </w:rPr>
        <w:t>
      - Мероприятия по стимулированию инвестиций, разработанные для конкретного региона/сектора, при необходимости.</w:t>
      </w:r>
      <w:r>
        <w:br/>
      </w:r>
      <w:r>
        <w:rPr>
          <w:rFonts w:ascii="Times New Roman"/>
          <w:b w:val="false"/>
          <w:i w:val="false"/>
          <w:color w:val="000000"/>
          <w:sz w:val="28"/>
        </w:rPr>
        <w:t>
      55. Точные результаты работ и отчетные материалы Этапов 2 и 3 будут подробно описаны в Сводном отчете по Этапу 1.</w:t>
      </w:r>
    </w:p>
    <w:p>
      <w:pPr>
        <w:spacing w:after="0"/>
        <w:ind w:left="0"/>
        <w:jc w:val="both"/>
      </w:pPr>
      <w:r>
        <w:rPr>
          <w:rFonts w:ascii="Times New Roman"/>
          <w:b/>
          <w:i w:val="false"/>
          <w:color w:val="000000"/>
          <w:sz w:val="28"/>
        </w:rPr>
        <w:t>                Приложение 1. обзор проекта бюджета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826"/>
        <w:gridCol w:w="984"/>
        <w:gridCol w:w="849"/>
        <w:gridCol w:w="1323"/>
        <w:gridCol w:w="991"/>
        <w:gridCol w:w="1127"/>
        <w:gridCol w:w="742"/>
        <w:gridCol w:w="1174"/>
        <w:gridCol w:w="742"/>
        <w:gridCol w:w="1287"/>
        <w:gridCol w:w="737"/>
        <w:gridCol w:w="1026"/>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годы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3</w:t>
            </w:r>
            <w:r>
              <w:br/>
            </w:r>
            <w:r>
              <w:rPr>
                <w:rFonts w:ascii="Times New Roman"/>
                <w:b w:val="false"/>
                <w:i w:val="false"/>
                <w:color w:val="000000"/>
                <w:sz w:val="20"/>
              </w:rPr>
              <w:t>
</w:t>
            </w:r>
            <w:r>
              <w:rPr>
                <w:rFonts w:ascii="Times New Roman"/>
                <w:b w:val="false"/>
                <w:i w:val="false"/>
                <w:color w:val="000000"/>
                <w:sz w:val="20"/>
              </w:rPr>
              <w:t>(6 мес.)</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персонал и</w:t>
            </w:r>
            <w:r>
              <w:br/>
            </w:r>
            <w:r>
              <w:rPr>
                <w:rFonts w:ascii="Times New Roman"/>
                <w:b w:val="false"/>
                <w:i w:val="false"/>
                <w:color w:val="000000"/>
                <w:sz w:val="20"/>
              </w:rPr>
              <w:t>
</w:t>
            </w:r>
            <w:r>
              <w:rPr>
                <w:rFonts w:ascii="Times New Roman"/>
                <w:b w:val="false"/>
                <w:i w:val="false"/>
                <w:color w:val="000000"/>
                <w:sz w:val="20"/>
              </w:rPr>
              <w:t>консалтинг</w:t>
            </w:r>
            <w:r>
              <w:br/>
            </w:r>
            <w:r>
              <w:rPr>
                <w:rFonts w:ascii="Times New Roman"/>
                <w:b w:val="false"/>
                <w:i w:val="false"/>
                <w:color w:val="000000"/>
                <w:sz w:val="20"/>
              </w:rPr>
              <w:t>
</w:t>
            </w:r>
            <w:r>
              <w:rPr>
                <w:rFonts w:ascii="Times New Roman"/>
                <w:b w:val="false"/>
                <w:i w:val="false"/>
                <w:color w:val="000000"/>
                <w:sz w:val="20"/>
              </w:rPr>
              <w:t>ОЭСР</w:t>
            </w:r>
            <w:r>
              <w:br/>
            </w:r>
            <w:r>
              <w:rPr>
                <w:rFonts w:ascii="Times New Roman"/>
                <w:b w:val="false"/>
                <w:i w:val="false"/>
                <w:color w:val="000000"/>
                <w:sz w:val="20"/>
              </w:rPr>
              <w:t>
</w:t>
            </w:r>
            <w:r>
              <w:rPr>
                <w:rFonts w:ascii="Times New Roman"/>
                <w:b w:val="false"/>
                <w:i w:val="false"/>
                <w:color w:val="000000"/>
                <w:sz w:val="20"/>
              </w:rPr>
              <w:t>1. Кадры</w:t>
            </w:r>
            <w:r>
              <w:br/>
            </w:r>
            <w:r>
              <w:rPr>
                <w:rFonts w:ascii="Times New Roman"/>
                <w:b w:val="false"/>
                <w:i w:val="false"/>
                <w:color w:val="000000"/>
                <w:sz w:val="20"/>
              </w:rPr>
              <w:t>
</w:t>
            </w:r>
            <w:r>
              <w:rPr>
                <w:rFonts w:ascii="Times New Roman"/>
                <w:b w:val="false"/>
                <w:i w:val="false"/>
                <w:color w:val="000000"/>
                <w:sz w:val="20"/>
              </w:rPr>
              <w:t>1.1. Зарплата</w:t>
            </w:r>
            <w:r>
              <w:br/>
            </w:r>
            <w:r>
              <w:rPr>
                <w:rFonts w:ascii="Times New Roman"/>
                <w:b w:val="false"/>
                <w:i w:val="false"/>
                <w:color w:val="000000"/>
                <w:sz w:val="20"/>
              </w:rPr>
              <w:t>
</w:t>
            </w: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персонала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2452888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Зарплата</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тивного</w:t>
            </w:r>
            <w:r>
              <w:br/>
            </w:r>
            <w:r>
              <w:rPr>
                <w:rFonts w:ascii="Times New Roman"/>
                <w:b w:val="false"/>
                <w:i w:val="false"/>
                <w:color w:val="000000"/>
                <w:sz w:val="20"/>
              </w:rPr>
              <w:t>
</w:t>
            </w:r>
            <w:r>
              <w:rPr>
                <w:rFonts w:ascii="Times New Roman"/>
                <w:b w:val="false"/>
                <w:i w:val="false"/>
                <w:color w:val="000000"/>
                <w:sz w:val="20"/>
              </w:rPr>
              <w:t>персонала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день</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133139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Консуль-</w:t>
            </w:r>
            <w:r>
              <w:br/>
            </w:r>
            <w:r>
              <w:rPr>
                <w:rFonts w:ascii="Times New Roman"/>
                <w:b w:val="false"/>
                <w:i w:val="false"/>
                <w:color w:val="000000"/>
                <w:sz w:val="20"/>
              </w:rPr>
              <w:t>
</w:t>
            </w:r>
            <w:r>
              <w:rPr>
                <w:rFonts w:ascii="Times New Roman"/>
                <w:b w:val="false"/>
                <w:i w:val="false"/>
                <w:color w:val="000000"/>
                <w:sz w:val="20"/>
              </w:rPr>
              <w:t>танты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день</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Местные</w:t>
            </w:r>
            <w:r>
              <w:br/>
            </w:r>
            <w:r>
              <w:rPr>
                <w:rFonts w:ascii="Times New Roman"/>
                <w:b w:val="false"/>
                <w:i w:val="false"/>
                <w:color w:val="000000"/>
                <w:sz w:val="20"/>
              </w:rPr>
              <w:t>
</w:t>
            </w:r>
            <w:r>
              <w:rPr>
                <w:rFonts w:ascii="Times New Roman"/>
                <w:b w:val="false"/>
                <w:i w:val="false"/>
                <w:color w:val="000000"/>
                <w:sz w:val="20"/>
              </w:rPr>
              <w:t>консуль-</w:t>
            </w:r>
            <w:r>
              <w:br/>
            </w:r>
            <w:r>
              <w:rPr>
                <w:rFonts w:ascii="Times New Roman"/>
                <w:b w:val="false"/>
                <w:i w:val="false"/>
                <w:color w:val="000000"/>
                <w:sz w:val="20"/>
              </w:rPr>
              <w:t>
</w:t>
            </w:r>
            <w:r>
              <w:rPr>
                <w:rFonts w:ascii="Times New Roman"/>
                <w:b w:val="false"/>
                <w:i w:val="false"/>
                <w:color w:val="000000"/>
                <w:sz w:val="20"/>
              </w:rPr>
              <w:t>танты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день</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Междуна-</w:t>
            </w:r>
            <w:r>
              <w:br/>
            </w:r>
            <w:r>
              <w:rPr>
                <w:rFonts w:ascii="Times New Roman"/>
                <w:b w:val="false"/>
                <w:i w:val="false"/>
                <w:color w:val="000000"/>
                <w:sz w:val="20"/>
              </w:rPr>
              <w:t>
</w:t>
            </w:r>
            <w:r>
              <w:rPr>
                <w:rFonts w:ascii="Times New Roman"/>
                <w:b w:val="false"/>
                <w:i w:val="false"/>
                <w:color w:val="000000"/>
                <w:sz w:val="20"/>
              </w:rPr>
              <w:t>родные</w:t>
            </w:r>
            <w:r>
              <w:br/>
            </w:r>
            <w:r>
              <w:rPr>
                <w:rFonts w:ascii="Times New Roman"/>
                <w:b w:val="false"/>
                <w:i w:val="false"/>
                <w:color w:val="000000"/>
                <w:sz w:val="20"/>
              </w:rPr>
              <w:t>
</w:t>
            </w:r>
            <w:r>
              <w:rPr>
                <w:rFonts w:ascii="Times New Roman"/>
                <w:b w:val="false"/>
                <w:i w:val="false"/>
                <w:color w:val="000000"/>
                <w:sz w:val="20"/>
              </w:rPr>
              <w:t>консультан-</w:t>
            </w:r>
            <w:r>
              <w:br/>
            </w:r>
            <w:r>
              <w:rPr>
                <w:rFonts w:ascii="Times New Roman"/>
                <w:b w:val="false"/>
                <w:i w:val="false"/>
                <w:color w:val="000000"/>
                <w:sz w:val="20"/>
              </w:rPr>
              <w:t>
</w:t>
            </w:r>
            <w:r>
              <w:rPr>
                <w:rFonts w:ascii="Times New Roman"/>
                <w:b w:val="false"/>
                <w:i w:val="false"/>
                <w:color w:val="000000"/>
                <w:sz w:val="20"/>
              </w:rPr>
              <w:t>ты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Офис и</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затраты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Централи-</w:t>
            </w:r>
            <w:r>
              <w:br/>
            </w:r>
            <w:r>
              <w:rPr>
                <w:rFonts w:ascii="Times New Roman"/>
                <w:b w:val="false"/>
                <w:i w:val="false"/>
                <w:color w:val="000000"/>
                <w:sz w:val="20"/>
              </w:rPr>
              <w:t>
</w:t>
            </w:r>
            <w:r>
              <w:rPr>
                <w:rFonts w:ascii="Times New Roman"/>
                <w:b w:val="false"/>
                <w:i w:val="false"/>
                <w:color w:val="000000"/>
                <w:sz w:val="20"/>
              </w:rPr>
              <w:t>зованные</w:t>
            </w:r>
            <w:r>
              <w:br/>
            </w:r>
            <w:r>
              <w:rPr>
                <w:rFonts w:ascii="Times New Roman"/>
                <w:b w:val="false"/>
                <w:i w:val="false"/>
                <w:color w:val="000000"/>
                <w:sz w:val="20"/>
              </w:rPr>
              <w:t>
</w:t>
            </w:r>
            <w:r>
              <w:rPr>
                <w:rFonts w:ascii="Times New Roman"/>
                <w:b w:val="false"/>
                <w:i w:val="false"/>
                <w:color w:val="000000"/>
                <w:sz w:val="20"/>
              </w:rPr>
              <w:t>услуги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492241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w:t>
            </w:r>
            <w:r>
              <w:br/>
            </w:r>
            <w:r>
              <w:rPr>
                <w:rFonts w:ascii="Times New Roman"/>
                <w:b w:val="false"/>
                <w:i w:val="false"/>
                <w:color w:val="000000"/>
                <w:sz w:val="20"/>
              </w:rPr>
              <w:t>
</w:t>
            </w:r>
            <w:r>
              <w:rPr>
                <w:rFonts w:ascii="Times New Roman"/>
                <w:b w:val="false"/>
                <w:i w:val="false"/>
                <w:color w:val="000000"/>
                <w:sz w:val="20"/>
              </w:rPr>
              <w:t>точный</w:t>
            </w:r>
            <w:r>
              <w:br/>
            </w:r>
            <w:r>
              <w:rPr>
                <w:rFonts w:ascii="Times New Roman"/>
                <w:b w:val="false"/>
                <w:i w:val="false"/>
                <w:color w:val="000000"/>
                <w:sz w:val="20"/>
              </w:rPr>
              <w:t>
</w:t>
            </w:r>
            <w:r>
              <w:rPr>
                <w:rFonts w:ascii="Times New Roman"/>
                <w:b w:val="false"/>
                <w:i w:val="false"/>
                <w:color w:val="000000"/>
                <w:sz w:val="20"/>
              </w:rPr>
              <w:t>итог:</w:t>
            </w:r>
            <w:r>
              <w:br/>
            </w:r>
            <w:r>
              <w:rPr>
                <w:rFonts w:ascii="Times New Roman"/>
                <w:b w:val="false"/>
                <w:i w:val="false"/>
                <w:color w:val="000000"/>
                <w:sz w:val="20"/>
              </w:rPr>
              <w:t>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персонал и</w:t>
            </w:r>
            <w:r>
              <w:br/>
            </w:r>
            <w:r>
              <w:rPr>
                <w:rFonts w:ascii="Times New Roman"/>
                <w:b w:val="false"/>
                <w:i w:val="false"/>
                <w:color w:val="000000"/>
                <w:sz w:val="20"/>
              </w:rPr>
              <w:t>
</w:t>
            </w:r>
            <w:r>
              <w:rPr>
                <w:rFonts w:ascii="Times New Roman"/>
                <w:b w:val="false"/>
                <w:i w:val="false"/>
                <w:color w:val="000000"/>
                <w:sz w:val="20"/>
              </w:rPr>
              <w:t>консалтинг</w:t>
            </w:r>
            <w:r>
              <w:br/>
            </w:r>
            <w:r>
              <w:rPr>
                <w:rFonts w:ascii="Times New Roman"/>
                <w:b w:val="false"/>
                <w:i w:val="false"/>
                <w:color w:val="000000"/>
                <w:sz w:val="20"/>
              </w:rPr>
              <w:t>
</w:t>
            </w:r>
            <w:r>
              <w:rPr>
                <w:rFonts w:ascii="Times New Roman"/>
                <w:b w:val="false"/>
                <w:i w:val="false"/>
                <w:color w:val="000000"/>
                <w:sz w:val="20"/>
              </w:rPr>
              <w:t>ОЭСР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1283588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649097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w:t>
            </w:r>
            <w:r>
              <w:br/>
            </w:r>
            <w:r>
              <w:rPr>
                <w:rFonts w:ascii="Times New Roman"/>
                <w:b w:val="false"/>
                <w:i w:val="false"/>
                <w:color w:val="000000"/>
                <w:sz w:val="20"/>
              </w:rPr>
              <w:t>
</w:t>
            </w:r>
            <w:r>
              <w:rPr>
                <w:rFonts w:ascii="Times New Roman"/>
                <w:b w:val="false"/>
                <w:i w:val="false"/>
                <w:color w:val="000000"/>
                <w:sz w:val="20"/>
              </w:rPr>
              <w:t>конферен-</w:t>
            </w:r>
            <w:r>
              <w:br/>
            </w:r>
            <w:r>
              <w:rPr>
                <w:rFonts w:ascii="Times New Roman"/>
                <w:b w:val="false"/>
                <w:i w:val="false"/>
                <w:color w:val="000000"/>
                <w:sz w:val="20"/>
              </w:rPr>
              <w:t>
</w:t>
            </w:r>
            <w:r>
              <w:rPr>
                <w:rFonts w:ascii="Times New Roman"/>
                <w:b w:val="false"/>
                <w:i w:val="false"/>
                <w:color w:val="000000"/>
                <w:sz w:val="20"/>
              </w:rPr>
              <w:t>циям и</w:t>
            </w:r>
            <w:r>
              <w:br/>
            </w:r>
            <w:r>
              <w:rPr>
                <w:rFonts w:ascii="Times New Roman"/>
                <w:b w:val="false"/>
                <w:i w:val="false"/>
                <w:color w:val="000000"/>
                <w:sz w:val="20"/>
              </w:rPr>
              <w:t>
</w:t>
            </w:r>
            <w:r>
              <w:rPr>
                <w:rFonts w:ascii="Times New Roman"/>
                <w:b w:val="false"/>
                <w:i w:val="false"/>
                <w:color w:val="000000"/>
                <w:sz w:val="20"/>
              </w:rPr>
              <w:t>командиро-</w:t>
            </w:r>
            <w:r>
              <w:br/>
            </w:r>
            <w:r>
              <w:rPr>
                <w:rFonts w:ascii="Times New Roman"/>
                <w:b w:val="false"/>
                <w:i w:val="false"/>
                <w:color w:val="000000"/>
                <w:sz w:val="20"/>
              </w:rPr>
              <w:t>
</w:t>
            </w:r>
            <w:r>
              <w:rPr>
                <w:rFonts w:ascii="Times New Roman"/>
                <w:b w:val="false"/>
                <w:i w:val="false"/>
                <w:color w:val="000000"/>
                <w:sz w:val="20"/>
              </w:rPr>
              <w:t>вочным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Конференции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вс-</w:t>
            </w:r>
            <w:r>
              <w:br/>
            </w:r>
            <w:r>
              <w:rPr>
                <w:rFonts w:ascii="Times New Roman"/>
                <w:b w:val="false"/>
                <w:i w:val="false"/>
                <w:color w:val="000000"/>
                <w:sz w:val="20"/>
              </w:rPr>
              <w:t>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чу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Мероприя-</w:t>
            </w:r>
            <w:r>
              <w:br/>
            </w:r>
            <w:r>
              <w:rPr>
                <w:rFonts w:ascii="Times New Roman"/>
                <w:b w:val="false"/>
                <w:i w:val="false"/>
                <w:color w:val="000000"/>
                <w:sz w:val="20"/>
              </w:rPr>
              <w:t>
</w:t>
            </w:r>
            <w:r>
              <w:rPr>
                <w:rFonts w:ascii="Times New Roman"/>
                <w:b w:val="false"/>
                <w:i w:val="false"/>
                <w:color w:val="000000"/>
                <w:sz w:val="20"/>
              </w:rPr>
              <w:t>тие по</w:t>
            </w:r>
            <w:r>
              <w:br/>
            </w:r>
            <w:r>
              <w:rPr>
                <w:rFonts w:ascii="Times New Roman"/>
                <w:b w:val="false"/>
                <w:i w:val="false"/>
                <w:color w:val="000000"/>
                <w:sz w:val="20"/>
              </w:rPr>
              <w:t>
</w:t>
            </w:r>
            <w:r>
              <w:rPr>
                <w:rFonts w:ascii="Times New Roman"/>
                <w:b w:val="false"/>
                <w:i w:val="false"/>
                <w:color w:val="000000"/>
                <w:sz w:val="20"/>
              </w:rPr>
              <w:t>содействию</w:t>
            </w:r>
            <w:r>
              <w:br/>
            </w:r>
            <w:r>
              <w:rPr>
                <w:rFonts w:ascii="Times New Roman"/>
                <w:b w:val="false"/>
                <w:i w:val="false"/>
                <w:color w:val="000000"/>
                <w:sz w:val="20"/>
              </w:rPr>
              <w:t>
</w:t>
            </w:r>
            <w:r>
              <w:rPr>
                <w:rFonts w:ascii="Times New Roman"/>
                <w:b w:val="false"/>
                <w:i w:val="false"/>
                <w:color w:val="000000"/>
                <w:sz w:val="20"/>
              </w:rPr>
              <w:t>инвестиции-</w:t>
            </w:r>
            <w:r>
              <w:br/>
            </w:r>
            <w:r>
              <w:rPr>
                <w:rFonts w:ascii="Times New Roman"/>
                <w:b w:val="false"/>
                <w:i w:val="false"/>
                <w:color w:val="000000"/>
                <w:sz w:val="20"/>
              </w:rPr>
              <w:t>
</w:t>
            </w:r>
            <w:r>
              <w:rPr>
                <w:rFonts w:ascii="Times New Roman"/>
                <w:b w:val="false"/>
                <w:i w:val="false"/>
                <w:color w:val="000000"/>
                <w:sz w:val="20"/>
              </w:rPr>
              <w:t>ям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вс-</w:t>
            </w:r>
            <w:r>
              <w:br/>
            </w:r>
            <w:r>
              <w:rPr>
                <w:rFonts w:ascii="Times New Roman"/>
                <w:b w:val="false"/>
                <w:i w:val="false"/>
                <w:color w:val="000000"/>
                <w:sz w:val="20"/>
              </w:rPr>
              <w:t>
</w:t>
            </w:r>
            <w:r>
              <w:rPr>
                <w:rFonts w:ascii="Times New Roman"/>
                <w:b w:val="false"/>
                <w:i w:val="false"/>
                <w:color w:val="000000"/>
                <w:sz w:val="20"/>
              </w:rPr>
              <w:t>тре-</w:t>
            </w:r>
            <w:r>
              <w:br/>
            </w:r>
            <w:r>
              <w:rPr>
                <w:rFonts w:ascii="Times New Roman"/>
                <w:b w:val="false"/>
                <w:i w:val="false"/>
                <w:color w:val="000000"/>
                <w:sz w:val="20"/>
              </w:rPr>
              <w:t>
</w:t>
            </w:r>
            <w:r>
              <w:rPr>
                <w:rFonts w:ascii="Times New Roman"/>
                <w:b w:val="false"/>
                <w:i w:val="false"/>
                <w:color w:val="000000"/>
                <w:sz w:val="20"/>
              </w:rPr>
              <w:t>чу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Семинар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Выпуск</w:t>
            </w:r>
            <w:r>
              <w:br/>
            </w:r>
            <w:r>
              <w:rPr>
                <w:rFonts w:ascii="Times New Roman"/>
                <w:b w:val="false"/>
                <w:i w:val="false"/>
                <w:color w:val="000000"/>
                <w:sz w:val="20"/>
              </w:rPr>
              <w:t>
</w:t>
            </w:r>
            <w:r>
              <w:rPr>
                <w:rFonts w:ascii="Times New Roman"/>
                <w:b w:val="false"/>
                <w:i w:val="false"/>
                <w:color w:val="000000"/>
                <w:sz w:val="20"/>
              </w:rPr>
              <w:t>отчета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Миссии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Миссии</w:t>
            </w:r>
            <w:r>
              <w:br/>
            </w:r>
            <w:r>
              <w:rPr>
                <w:rFonts w:ascii="Times New Roman"/>
                <w:b w:val="false"/>
                <w:i w:val="false"/>
                <w:color w:val="000000"/>
                <w:sz w:val="20"/>
              </w:rPr>
              <w:t>
</w:t>
            </w:r>
            <w:r>
              <w:rPr>
                <w:rFonts w:ascii="Times New Roman"/>
                <w:b w:val="false"/>
                <w:i w:val="false"/>
                <w:color w:val="000000"/>
                <w:sz w:val="20"/>
              </w:rPr>
              <w:t>в стране</w:t>
            </w:r>
            <w:r>
              <w:br/>
            </w:r>
            <w:r>
              <w:rPr>
                <w:rFonts w:ascii="Times New Roman"/>
                <w:b w:val="false"/>
                <w:i w:val="false"/>
                <w:color w:val="000000"/>
                <w:sz w:val="20"/>
              </w:rPr>
              <w:t>
</w:t>
            </w:r>
            <w:r>
              <w:rPr>
                <w:rFonts w:ascii="Times New Roman"/>
                <w:b w:val="false"/>
                <w:i w:val="false"/>
                <w:color w:val="000000"/>
                <w:sz w:val="20"/>
              </w:rPr>
              <w:t>(ОЭСР)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мис-</w:t>
            </w:r>
            <w:r>
              <w:br/>
            </w:r>
            <w:r>
              <w:rPr>
                <w:rFonts w:ascii="Times New Roman"/>
                <w:b w:val="false"/>
                <w:i w:val="false"/>
                <w:color w:val="000000"/>
                <w:sz w:val="20"/>
              </w:rPr>
              <w:t>
</w:t>
            </w:r>
            <w:r>
              <w:rPr>
                <w:rFonts w:ascii="Times New Roman"/>
                <w:b w:val="false"/>
                <w:i w:val="false"/>
                <w:color w:val="000000"/>
                <w:sz w:val="20"/>
              </w:rPr>
              <w:t>сию</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Миссии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координации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мис-</w:t>
            </w:r>
            <w:r>
              <w:br/>
            </w:r>
            <w:r>
              <w:rPr>
                <w:rFonts w:ascii="Times New Roman"/>
                <w:b w:val="false"/>
                <w:i w:val="false"/>
                <w:color w:val="000000"/>
                <w:sz w:val="20"/>
              </w:rPr>
              <w:t>
</w:t>
            </w:r>
            <w:r>
              <w:rPr>
                <w:rFonts w:ascii="Times New Roman"/>
                <w:b w:val="false"/>
                <w:i w:val="false"/>
                <w:color w:val="000000"/>
                <w:sz w:val="20"/>
              </w:rPr>
              <w:t>сию</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w:t>
            </w:r>
            <w:r>
              <w:br/>
            </w:r>
            <w:r>
              <w:rPr>
                <w:rFonts w:ascii="Times New Roman"/>
                <w:b w:val="false"/>
                <w:i w:val="false"/>
                <w:color w:val="000000"/>
                <w:sz w:val="20"/>
              </w:rPr>
              <w:t>
</w:t>
            </w:r>
            <w:r>
              <w:rPr>
                <w:rFonts w:ascii="Times New Roman"/>
                <w:b w:val="false"/>
                <w:i w:val="false"/>
                <w:color w:val="000000"/>
                <w:sz w:val="20"/>
              </w:rPr>
              <w:t>точный</w:t>
            </w:r>
            <w:r>
              <w:br/>
            </w:r>
            <w:r>
              <w:rPr>
                <w:rFonts w:ascii="Times New Roman"/>
                <w:b w:val="false"/>
                <w:i w:val="false"/>
                <w:color w:val="000000"/>
                <w:sz w:val="20"/>
              </w:rPr>
              <w:t>
</w:t>
            </w:r>
            <w:r>
              <w:rPr>
                <w:rFonts w:ascii="Times New Roman"/>
                <w:b w:val="false"/>
                <w:i w:val="false"/>
                <w:color w:val="000000"/>
                <w:sz w:val="20"/>
              </w:rPr>
              <w:t>итог:</w:t>
            </w:r>
            <w:r>
              <w:br/>
            </w:r>
            <w:r>
              <w:rPr>
                <w:rFonts w:ascii="Times New Roman"/>
                <w:b w:val="false"/>
                <w:i w:val="false"/>
                <w:color w:val="000000"/>
                <w:sz w:val="20"/>
              </w:rPr>
              <w:t>
</w:t>
            </w:r>
            <w:r>
              <w:rPr>
                <w:rFonts w:ascii="Times New Roman"/>
                <w:b w:val="false"/>
                <w:i w:val="false"/>
                <w:color w:val="000000"/>
                <w:sz w:val="20"/>
              </w:rPr>
              <w:t>Затраты по</w:t>
            </w:r>
            <w:r>
              <w:br/>
            </w:r>
            <w:r>
              <w:rPr>
                <w:rFonts w:ascii="Times New Roman"/>
                <w:b w:val="false"/>
                <w:i w:val="false"/>
                <w:color w:val="000000"/>
                <w:sz w:val="20"/>
              </w:rPr>
              <w:t>
</w:t>
            </w:r>
            <w:r>
              <w:rPr>
                <w:rFonts w:ascii="Times New Roman"/>
                <w:b w:val="false"/>
                <w:i w:val="false"/>
                <w:color w:val="000000"/>
                <w:sz w:val="20"/>
              </w:rPr>
              <w:t>конферен-</w:t>
            </w:r>
            <w:r>
              <w:br/>
            </w:r>
            <w:r>
              <w:rPr>
                <w:rFonts w:ascii="Times New Roman"/>
                <w:b w:val="false"/>
                <w:i w:val="false"/>
                <w:color w:val="000000"/>
                <w:sz w:val="20"/>
              </w:rPr>
              <w:t>
</w:t>
            </w:r>
            <w:r>
              <w:rPr>
                <w:rFonts w:ascii="Times New Roman"/>
                <w:b w:val="false"/>
                <w:i w:val="false"/>
                <w:color w:val="000000"/>
                <w:sz w:val="20"/>
              </w:rPr>
              <w:t>циям и</w:t>
            </w:r>
            <w:r>
              <w:br/>
            </w:r>
            <w:r>
              <w:rPr>
                <w:rFonts w:ascii="Times New Roman"/>
                <w:b w:val="false"/>
                <w:i w:val="false"/>
                <w:color w:val="000000"/>
                <w:sz w:val="20"/>
              </w:rPr>
              <w:t>
</w:t>
            </w:r>
            <w:r>
              <w:rPr>
                <w:rFonts w:ascii="Times New Roman"/>
                <w:b w:val="false"/>
                <w:i w:val="false"/>
                <w:color w:val="000000"/>
                <w:sz w:val="20"/>
              </w:rPr>
              <w:t>команди-</w:t>
            </w:r>
            <w:r>
              <w:br/>
            </w:r>
            <w:r>
              <w:rPr>
                <w:rFonts w:ascii="Times New Roman"/>
                <w:b w:val="false"/>
                <w:i w:val="false"/>
                <w:color w:val="000000"/>
                <w:sz w:val="20"/>
              </w:rPr>
              <w:t>
</w:t>
            </w:r>
            <w:r>
              <w:rPr>
                <w:rFonts w:ascii="Times New Roman"/>
                <w:b w:val="false"/>
                <w:i w:val="false"/>
                <w:color w:val="000000"/>
                <w:sz w:val="20"/>
              </w:rPr>
              <w:t>ровочным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w:t>
            </w:r>
            <w:r>
              <w:br/>
            </w:r>
            <w:r>
              <w:rPr>
                <w:rFonts w:ascii="Times New Roman"/>
                <w:b w:val="false"/>
                <w:i w:val="false"/>
                <w:color w:val="000000"/>
                <w:sz w:val="20"/>
              </w:rPr>
              <w:t>
</w:t>
            </w:r>
            <w:r>
              <w:rPr>
                <w:rFonts w:ascii="Times New Roman"/>
                <w:b w:val="false"/>
                <w:i w:val="false"/>
                <w:color w:val="000000"/>
                <w:sz w:val="20"/>
              </w:rPr>
              <w:t>публикациям</w:t>
            </w:r>
            <w:r>
              <w:br/>
            </w:r>
            <w:r>
              <w:rPr>
                <w:rFonts w:ascii="Times New Roman"/>
                <w:b w:val="false"/>
                <w:i w:val="false"/>
                <w:color w:val="000000"/>
                <w:sz w:val="20"/>
              </w:rPr>
              <w:t>
</w:t>
            </w:r>
            <w:r>
              <w:rPr>
                <w:rFonts w:ascii="Times New Roman"/>
                <w:b w:val="false"/>
                <w:i w:val="false"/>
                <w:color w:val="000000"/>
                <w:sz w:val="20"/>
              </w:rPr>
              <w:t>и переводу</w:t>
            </w:r>
            <w:r>
              <w:br/>
            </w:r>
            <w:r>
              <w:rPr>
                <w:rFonts w:ascii="Times New Roman"/>
                <w:b w:val="false"/>
                <w:i w:val="false"/>
                <w:color w:val="000000"/>
                <w:sz w:val="20"/>
              </w:rPr>
              <w:t>
</w:t>
            </w:r>
            <w:r>
              <w:rPr>
                <w:rFonts w:ascii="Times New Roman"/>
                <w:b w:val="false"/>
                <w:i w:val="false"/>
                <w:color w:val="000000"/>
                <w:sz w:val="20"/>
              </w:rPr>
              <w:t>1. Публикации</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пуб-</w:t>
            </w:r>
            <w:r>
              <w:br/>
            </w:r>
            <w:r>
              <w:rPr>
                <w:rFonts w:ascii="Times New Roman"/>
                <w:b w:val="false"/>
                <w:i w:val="false"/>
                <w:color w:val="000000"/>
                <w:sz w:val="20"/>
              </w:rPr>
              <w:t>
</w:t>
            </w:r>
            <w:r>
              <w:rPr>
                <w:rFonts w:ascii="Times New Roman"/>
                <w:b w:val="false"/>
                <w:i w:val="false"/>
                <w:color w:val="000000"/>
                <w:sz w:val="20"/>
              </w:rPr>
              <w:t>лика-</w:t>
            </w:r>
            <w:r>
              <w:br/>
            </w:r>
            <w:r>
              <w:rPr>
                <w:rFonts w:ascii="Times New Roman"/>
                <w:b w:val="false"/>
                <w:i w:val="false"/>
                <w:color w:val="000000"/>
                <w:sz w:val="20"/>
              </w:rPr>
              <w:t>
</w:t>
            </w:r>
            <w:r>
              <w:rPr>
                <w:rFonts w:ascii="Times New Roman"/>
                <w:b w:val="false"/>
                <w:i w:val="false"/>
                <w:color w:val="000000"/>
                <w:sz w:val="20"/>
              </w:rPr>
              <w:t>цию</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Переводы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стр.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w:t>
            </w:r>
            <w:r>
              <w:br/>
            </w:r>
            <w:r>
              <w:rPr>
                <w:rFonts w:ascii="Times New Roman"/>
                <w:b w:val="false"/>
                <w:i w:val="false"/>
                <w:color w:val="000000"/>
                <w:sz w:val="20"/>
              </w:rPr>
              <w:t>
</w:t>
            </w:r>
            <w:r>
              <w:rPr>
                <w:rFonts w:ascii="Times New Roman"/>
                <w:b w:val="false"/>
                <w:i w:val="false"/>
                <w:color w:val="000000"/>
                <w:sz w:val="20"/>
              </w:rPr>
              <w:t>точный</w:t>
            </w:r>
            <w:r>
              <w:br/>
            </w:r>
            <w:r>
              <w:rPr>
                <w:rFonts w:ascii="Times New Roman"/>
                <w:b w:val="false"/>
                <w:i w:val="false"/>
                <w:color w:val="000000"/>
                <w:sz w:val="20"/>
              </w:rPr>
              <w:t>
</w:t>
            </w:r>
            <w:r>
              <w:rPr>
                <w:rFonts w:ascii="Times New Roman"/>
                <w:b w:val="false"/>
                <w:i w:val="false"/>
                <w:color w:val="000000"/>
                <w:sz w:val="20"/>
              </w:rPr>
              <w:t>итог:</w:t>
            </w:r>
            <w:r>
              <w:br/>
            </w:r>
            <w:r>
              <w:rPr>
                <w:rFonts w:ascii="Times New Roman"/>
                <w:b w:val="false"/>
                <w:i w:val="false"/>
                <w:color w:val="000000"/>
                <w:sz w:val="20"/>
              </w:rPr>
              <w:t>
</w:t>
            </w:r>
            <w:r>
              <w:rPr>
                <w:rFonts w:ascii="Times New Roman"/>
                <w:b w:val="false"/>
                <w:i w:val="false"/>
                <w:color w:val="000000"/>
                <w:sz w:val="20"/>
              </w:rPr>
              <w:t>Затраты по</w:t>
            </w:r>
            <w:r>
              <w:br/>
            </w:r>
            <w:r>
              <w:rPr>
                <w:rFonts w:ascii="Times New Roman"/>
                <w:b w:val="false"/>
                <w:i w:val="false"/>
                <w:color w:val="000000"/>
                <w:sz w:val="20"/>
              </w:rPr>
              <w:t>
</w:t>
            </w:r>
            <w:r>
              <w:rPr>
                <w:rFonts w:ascii="Times New Roman"/>
                <w:b w:val="false"/>
                <w:i w:val="false"/>
                <w:color w:val="000000"/>
                <w:sz w:val="20"/>
              </w:rPr>
              <w:t>публикациям</w:t>
            </w:r>
            <w:r>
              <w:br/>
            </w:r>
            <w:r>
              <w:rPr>
                <w:rFonts w:ascii="Times New Roman"/>
                <w:b w:val="false"/>
                <w:i w:val="false"/>
                <w:color w:val="000000"/>
                <w:sz w:val="20"/>
              </w:rPr>
              <w:t>
</w:t>
            </w:r>
            <w:r>
              <w:rPr>
                <w:rFonts w:ascii="Times New Roman"/>
                <w:b w:val="false"/>
                <w:i w:val="false"/>
                <w:color w:val="000000"/>
                <w:sz w:val="20"/>
              </w:rPr>
              <w:t>и переводу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Косвенные</w:t>
            </w:r>
            <w:r>
              <w:br/>
            </w:r>
            <w:r>
              <w:rPr>
                <w:rFonts w:ascii="Times New Roman"/>
                <w:b w:val="false"/>
                <w:i w:val="false"/>
                <w:color w:val="000000"/>
                <w:sz w:val="20"/>
              </w:rPr>
              <w:t>
</w:t>
            </w:r>
            <w:r>
              <w:rPr>
                <w:rFonts w:ascii="Times New Roman"/>
                <w:b w:val="false"/>
                <w:i w:val="false"/>
                <w:color w:val="000000"/>
                <w:sz w:val="20"/>
              </w:rPr>
              <w:t>затраты</w:t>
            </w:r>
            <w:r>
              <w:br/>
            </w:r>
            <w:r>
              <w:rPr>
                <w:rFonts w:ascii="Times New Roman"/>
                <w:b w:val="false"/>
                <w:i w:val="false"/>
                <w:color w:val="000000"/>
                <w:sz w:val="20"/>
              </w:rPr>
              <w:t>
</w:t>
            </w:r>
            <w:r>
              <w:rPr>
                <w:rFonts w:ascii="Times New Roman"/>
                <w:b w:val="false"/>
                <w:i w:val="false"/>
                <w:color w:val="000000"/>
                <w:sz w:val="20"/>
              </w:rPr>
              <w:t>1. Косвенные</w:t>
            </w:r>
            <w:r>
              <w:br/>
            </w:r>
            <w:r>
              <w:rPr>
                <w:rFonts w:ascii="Times New Roman"/>
                <w:b w:val="false"/>
                <w:i w:val="false"/>
                <w:color w:val="000000"/>
                <w:sz w:val="20"/>
              </w:rPr>
              <w:t>
</w:t>
            </w:r>
            <w:r>
              <w:rPr>
                <w:rFonts w:ascii="Times New Roman"/>
                <w:b w:val="false"/>
                <w:i w:val="false"/>
                <w:color w:val="000000"/>
                <w:sz w:val="20"/>
              </w:rPr>
              <w:t>и админис-</w:t>
            </w:r>
            <w:r>
              <w:br/>
            </w:r>
            <w:r>
              <w:rPr>
                <w:rFonts w:ascii="Times New Roman"/>
                <w:b w:val="false"/>
                <w:i w:val="false"/>
                <w:color w:val="000000"/>
                <w:sz w:val="20"/>
              </w:rPr>
              <w:t>
</w:t>
            </w:r>
            <w:r>
              <w:rPr>
                <w:rFonts w:ascii="Times New Roman"/>
                <w:b w:val="false"/>
                <w:i w:val="false"/>
                <w:color w:val="000000"/>
                <w:sz w:val="20"/>
              </w:rPr>
              <w:t>тративные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(5,8 %)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w:t>
            </w:r>
            <w:r>
              <w:br/>
            </w:r>
            <w:r>
              <w:rPr>
                <w:rFonts w:ascii="Times New Roman"/>
                <w:b w:val="false"/>
                <w:i w:val="false"/>
                <w:color w:val="000000"/>
                <w:sz w:val="20"/>
              </w:rPr>
              <w:t>
</w:t>
            </w:r>
            <w:r>
              <w:rPr>
                <w:rFonts w:ascii="Times New Roman"/>
                <w:b w:val="false"/>
                <w:i w:val="false"/>
                <w:color w:val="000000"/>
                <w:sz w:val="20"/>
              </w:rPr>
              <w:t>точный</w:t>
            </w:r>
            <w:r>
              <w:br/>
            </w:r>
            <w:r>
              <w:rPr>
                <w:rFonts w:ascii="Times New Roman"/>
                <w:b w:val="false"/>
                <w:i w:val="false"/>
                <w:color w:val="000000"/>
                <w:sz w:val="20"/>
              </w:rPr>
              <w:t>
</w:t>
            </w:r>
            <w:r>
              <w:rPr>
                <w:rFonts w:ascii="Times New Roman"/>
                <w:b w:val="false"/>
                <w:i w:val="false"/>
                <w:color w:val="000000"/>
                <w:sz w:val="20"/>
              </w:rPr>
              <w:t>итог:</w:t>
            </w:r>
            <w:r>
              <w:br/>
            </w:r>
            <w:r>
              <w:rPr>
                <w:rFonts w:ascii="Times New Roman"/>
                <w:b w:val="false"/>
                <w:i w:val="false"/>
                <w:color w:val="000000"/>
                <w:sz w:val="20"/>
              </w:rPr>
              <w:t>
</w:t>
            </w:r>
            <w:r>
              <w:rPr>
                <w:rFonts w:ascii="Times New Roman"/>
                <w:b w:val="false"/>
                <w:i w:val="false"/>
                <w:color w:val="000000"/>
                <w:sz w:val="20"/>
              </w:rPr>
              <w:t>Косвенные</w:t>
            </w:r>
            <w:r>
              <w:br/>
            </w:r>
            <w:r>
              <w:rPr>
                <w:rFonts w:ascii="Times New Roman"/>
                <w:b w:val="false"/>
                <w:i w:val="false"/>
                <w:color w:val="000000"/>
                <w:sz w:val="20"/>
              </w:rPr>
              <w:t>
</w:t>
            </w:r>
            <w:r>
              <w:rPr>
                <w:rFonts w:ascii="Times New Roman"/>
                <w:b w:val="false"/>
                <w:i w:val="false"/>
                <w:color w:val="000000"/>
                <w:sz w:val="20"/>
              </w:rPr>
              <w:t>затраты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Бюджет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Ежемесячные затраты на оплату труда являются средними для различных категорий, и потому является только индикативной. Размер зарплат базируется на шкале ставок ОЭСР-2010 плюс планируемые повышения в 2011, 2012, 2013 и 2014</w:t>
      </w:r>
      <w:r>
        <w:br/>
      </w:r>
      <w:r>
        <w:rPr>
          <w:rFonts w:ascii="Times New Roman"/>
          <w:b w:val="false"/>
          <w:i w:val="false"/>
          <w:color w:val="000000"/>
          <w:sz w:val="28"/>
        </w:rPr>
        <w:t>
      (2) Фактическая стоимость индивидуального контракта может варьировать в зависимости от сферы компетенции и опыта консультанта</w:t>
      </w:r>
      <w:r>
        <w:br/>
      </w:r>
      <w:r>
        <w:rPr>
          <w:rFonts w:ascii="Times New Roman"/>
          <w:b w:val="false"/>
          <w:i w:val="false"/>
          <w:color w:val="000000"/>
          <w:sz w:val="28"/>
        </w:rPr>
        <w:t>
      (3) Централизованные услуги включают оплату офиса, мебель, основные ИТ услуги, международную телефонную связь и тренинг (?), создаваемые персоналом ОЭСР в течение действия проекта</w:t>
      </w:r>
      <w:r>
        <w:br/>
      </w:r>
      <w:r>
        <w:rPr>
          <w:rFonts w:ascii="Times New Roman"/>
          <w:b w:val="false"/>
          <w:i w:val="false"/>
          <w:color w:val="000000"/>
          <w:sz w:val="28"/>
        </w:rPr>
        <w:t>
      (4) Дорожные расходы связаны с миссиями, осуществляемыми как персоналом ОЭСР, так и внешними консультантами. Миссии по координации совершаются в Брюссель и другие направления ОЭСР. Затраты рассчитываются по системе авторизации миссий ОЭСР, в соответствии с инструкциями и нормативами по персоналу ОЭСР.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