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9c39" w14:textId="1669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изменения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коммерческого железнодорожного транзита</w:t>
      </w:r>
      <w:r>
        <w:br/>
      </w:r>
      <w:r>
        <w:rPr>
          <w:rFonts w:ascii="Times New Roman"/>
          <w:b/>
          <w:i w:val="false"/>
          <w:color w:val="000000"/>
        </w:rPr>
        <w:t>
специального груза через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связи с участием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в усилиях по стабилизации и восстановлению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 от 20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от 20 июня 2010 года, совершенный в городе Вашингтоне 8 июля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Соединенных Штатов Америки об обеспечении коммерческого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транзита специального груза через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связи с участием Соединенных</w:t>
      </w:r>
      <w:r>
        <w:br/>
      </w:r>
      <w:r>
        <w:rPr>
          <w:rFonts w:ascii="Times New Roman"/>
          <w:b/>
          <w:i w:val="false"/>
          <w:color w:val="000000"/>
        </w:rPr>
        <w:t>
Штатов Америки в усилиях по стабилизации и восстановлению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Соединенных Штатов Америки,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 и 3 статьи 13 Соглашения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подписанного 20 июня 2010 года в городе Астане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2 статьи 3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«2.Коммерческий железнодорожный транзит специального груза и сопровождающего персонала осуществляется через следующие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 Российской Федерации/в Российскую Федерацию: Илецк/Жайсан;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из Республики Узбекистан/в Республику Узбекистан: Сары-Агач/Келес и/или Бейнеу/Каракалпакия.».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13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Вашингтон 8 июля 2011 года в двух экземплярах, на казахском, английском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