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6a92" w14:textId="32c6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профессиональных организаций, организаций по сертификации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2011 года № 1248. Утратило силу постановлением Правительства Республики Казахстан от 23 июля 2015 года №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28 февраля 2007 года "О бухгалтерском учете и финансовой отчетности"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организаций, организаций по сертификации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который вводится в действие с 30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1248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аккредитации профессиональных организаций,</w:t>
      </w:r>
      <w:r>
        <w:br/>
      </w:r>
      <w:r>
        <w:rPr>
          <w:rFonts w:ascii="Times New Roman"/>
          <w:b/>
          <w:i w:val="false"/>
          <w:color w:val="000000"/>
        </w:rPr>
        <w:t>
организаций по сертификации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05.08.2014 </w:t>
      </w:r>
      <w:r>
        <w:rPr>
          <w:rFonts w:ascii="Times New Roman"/>
          <w:b w:val="false"/>
          <w:i w:val="false"/>
          <w:color w:val="ff0000"/>
          <w:sz w:val="28"/>
        </w:rPr>
        <w:t>№ 875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аккредитации профессиональных организаций, организаций по сертификации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«О бухгалтерском учете и финансовой отчетности» (далее - Закон) и устанавливают порядок проведения аккредитации профессиональных организаций бухгалтеров (далее - профессиональные организации) и организаций по профессиональной сертификации бухгалтеров (далее - организации по сертификации) центральным государственным органом, осуществляющим регулирование деятельности в сфере бухгалтерского учета и финансовой отчетности (далее - уполномоченный орган).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процедуры аккредитации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Профессиональные организации для проведения аккредитации представляют следующие документы через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(далее - ЭЦП) уполномоченного лица профессиональной организации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электронный документ, подтверждающий наличие системы повышения квалификации своих членов, с указанием плана проведения обучающих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по сертификации для проведения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 в уполномоченный орган через портал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 уполномоченного лица организации по сертификации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сведений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в форме электронного документа по программам сертификации, включающие экзаменационные модули и порядок оценки результатов экзаменов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 на государственном и русском языках, соответствующие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утвержденное положение о порядке организации и проведения экзаменов по сертификации профессионального бухгалтера в форме электронного документа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структуры экзаменационных модулей, содержащих тестовые вопросы и ситуационные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продолжительности экзаменов по дисциплинам сертификации не менее трех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проведения проверок экзаменационных работ кандидатов в профессиональные бухгалтера (далее - кандидат) не более тридцати календарных дней с даты сдачи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сроков выдачи сертификатов не более четырнадцати календарных дней с даты получения положительного результата по последней дисциплине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кандидатом положительного результата по дисциплине «Бухгалтерский учет в соответствии с международными стандартами финансовой отчетности», который будет признаваться действительным только в течение трех последующих лет с даты утверждения результата, по дисциплинам «Налоги и налогообложение» и «Гражданское право» - в течение пяти последующих лет с даты утверждения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прав, обязанностей и ответственности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утвержденное положение об экзаменационной комиссии с указанием прав, обязанностей и ответственности председателя указанной комиссии, ее членов, независимых наблюдателей и ее состав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положение об апелляционной комиссии (совете) с указанием ее состава, срока подачи жалоб и порядка проведения досудебного рассмотрения жалоб по результатам экзаменов с установлением сроков рассмотрения, формы жалобы и решения комиссии (совета)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после приема документов на аккредитацию в течение двух рабочих дней направляет материалы по программам сертификации, включающие экзаменационные модули и порядок оценки результатов экзаменов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 на государственном и русском языках, соответствующие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рассмотрение аккредитованным профессиональным организациям, с которыми заключено соглашение о взаимодействии.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Аккредитованные профессиональные организации в течение пятнадцати календарных дней с даты направления уполномоченным органом в их адрес материалов представляют результаты рассмотрения на предмет их соответствия требованиям по содержанию материалов для аккредитации,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организации и организации по сертификации подписывается и регистрируется в течение трех рабочих дней на государственном и русском языках руководителем уполномоченного органа или должностным лицом, исполняющим обязанности руководителя уполномоченного органа, и скрепляется печатью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рассмотрения документов профессиональных организаций и организаций по сертификации и принятия решения о выдаче свидетельства об аккредитации, переоформлении не должен превышать двадцати пяти рабочих дней с момента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Профессиональные организации отвечают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 составе профессиональной организации не менее трехсот профессиональных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утвержденного в соответствии с уставом организации Кодекса этики профессиональных бухгалтеров, соответствующего международной практике;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системы повышения квалификации своих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Организации по сертификации отвечают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независимой от обучения экзаменационной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2)наличие соглашения о взаимодействии с профессиональной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к содержанию материалов для аккредитации,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Свидетельство об аккредитации профессиональной организации и организации по сертификации является официальным документом, удостоверяющим аккредитацию, который действует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профессиональной организации выдается сроком на пять лет,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организации по сертификации - на три года по формам, утверждаемым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свидетельства имеют учетную серию, номер и являются документами строгой отчетности. Уполномоченный орган обеспечивает изготовление, учет и хранение бланков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Профессиональные организации должны иметь следующие рабочие органы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международным стандартам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повышению квалификации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вопросам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рассмотрению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организации также по усмотрению имеют другие рабочие органы, определенные ее уставом.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Организации по сертификации, в случае изменения составов экзаменационной, апелляционной комиссий уведомляют об этом уполномоченный орган в письменном виде, а также проводят экзамены совместно с профессиональной организацией, с которой заключено соглашение о взаимодействии.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Профессиональные организации и организации по сертификации в целях дальнейшего осуществления своей деятельности предоставляют в уполномоченный орган за три месяца до окончания срока действия свидетельство об аккредитации и другие документы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изменения наименования, организационно-правовой формы, реорганизации юридического лица профессиональная организация и организация по сертификации проходят процедуру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переоформления свидетельства об аккредитации профессиональной организации или организации по сертификации в случае изменения юридического адреса в течение пятнадцати календарных дней необходимо представить на портал запрос в форме электронного документа, удостоверенного ЭЦП уполномоченного лица профессиональной организации или организации по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профессиональной организации или организации по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виде электронных копий документов, удостоверенных ЭЦП уполномоченного лица профессиональной организации или организации по сертификации.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по сертификации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аккредитовать(переоформить)______________________________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профессиональной организации, организации по сертификации)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деятельности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по сертификации  _______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        (подпись)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использование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«__»_________20__г.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по сертификации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Форма сведений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Утвержденный в соответствии с уставом организации Кодекс этики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 бухгалтеров, соответствующий международной практике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0"/>
        <w:gridCol w:w="6500"/>
      </w:tblGrid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 профессиональной организации бухгалтеров членов_________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(указывается наименование профессиональной организации бухгалтеров,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бизнес-идентификационный номер)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№ 1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1555"/>
        <w:gridCol w:w="1555"/>
        <w:gridCol w:w="1555"/>
        <w:gridCol w:w="1556"/>
        <w:gridCol w:w="1556"/>
        <w:gridCol w:w="1556"/>
        <w:gridCol w:w="1556"/>
        <w:gridCol w:w="1556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профессиональную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№ 2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1750"/>
        <w:gridCol w:w="1750"/>
        <w:gridCol w:w="1750"/>
        <w:gridCol w:w="1750"/>
        <w:gridCol w:w="17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Сведения о наличии рабочих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профессиональной организации бухгалтеров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Наличие системы повышения квалификации своих членов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бухгалтеров  _________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(дата)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по сертификации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Форма сведений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о взаимодействии с аккредитованной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организацией бухгалтеров*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профессиональной организации бухгалтеров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(не менее 3 лет)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при заключении нескольких соглашений предоставляются все сведения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Сведения о структуре независимой экзаменационной системы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33"/>
        <w:gridCol w:w="2333"/>
        <w:gridCol w:w="2333"/>
        <w:gridCol w:w="2334"/>
        <w:gridCol w:w="2334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ли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обучающим организациям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Состав экзаменационной комиссии**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623"/>
        <w:gridCol w:w="1504"/>
        <w:gridCol w:w="1723"/>
        <w:gridCol w:w="1405"/>
        <w:gridCol w:w="1981"/>
        <w:gridCol w:w="2954"/>
        <w:gridCol w:w="2220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в 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должность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последних пяти лет в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бухгалтерской, экономической,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 или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бухгалтерскому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аудиту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(наименование,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не менее десяти членов, из них не менее 5 членов, имеющих сертификат профессионального бухгалтера, не менее 1 члена, имеющего юридическое образование и стаж работы не менее последних трех лет в юридической сфере.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по сертификации 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содержанию материалов для аккредитации</w:t>
      </w:r>
      <w:r>
        <w:br/>
      </w:r>
      <w:r>
        <w:rPr>
          <w:rFonts w:ascii="Times New Roman"/>
          <w:b/>
          <w:i w:val="false"/>
          <w:color w:val="000000"/>
        </w:rPr>
        <w:t>
организации по сертификации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устанавливаются к материалам, представляемым уполномоченным органом для проведения аккредитации организации по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Материалы для аккредитации по дисциплинам «Бухгалтерский учет в соответствии с международными стандартами финансовой отчетности», «Налоги и налогообложение» и «Гражданское право» состоят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экзаменационного модуля;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порядка оценки результатов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Содержание материалов для аккредитации по дисциплинам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«Бухгалтерский учет в соответствии с международными стандартами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отчетности», «Налоги и налогообложение» и «Гражданское право» должно соответствовать следующим перечням: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тем по дисциплине «Бухгалтерский учет в соответствии с международными стандартами финансовой отчетности»;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тем по дисциплине «Налоги и налогообложение»;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тем по дисциплине «Гражданское право».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Материалы для аккредитации по указанным дисциплинам соответствуют законодательству Республики Казахстан на дату их представления, по дисциплине «Бухгалтерский учет в соответствии с международными стандартами финансовой отчетности» также соответствуют Международным стандартам финансовой отчетности (далее - МСФО) с учетом действующих изменений и официального перевода на государственный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Экзаменационный модуль по отдельным дисциплинам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дисциплине «Бухгалтерский учет в соответствии с международными стандартами финансовой отчетности» - не менее двухсот тестовых вопросов с ответами и ста задач с решениями, не менее одной задачи по каждому МСФО согласно перечню тем по дисциплине «Бухгалтерский учет в соответствии с международными стандартами финансовой отчетности»;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дисциплине «Налоги и налогообложение» - не менее трехсот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тестовых вопросов с ответами и не менее семидесяти задач с решениями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перечню тем по дисциплине «Налоги и налогообложение»;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дисциплине «Гражданское право» - не менее двухсот сорока тестовых вопросов с ответами и семидесяти задач с решениями, согласно перечню тем по дисциплине «Гражданское право».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Тестовые вопросы по указанным дисциплинам охватывают все темы в перечнях (исключения составляют МСФО (IAS) 26 «Учет и отчетность по пенсионным планам», МСФО (IAS) 29 «Финансовая отчетность в гиперинфляционной экономике»), к настоящим требованиям соответственно. При этом по каждой теме составляется не менее шести вопросов по дисциплине «Бухгалтерский учет в соответствии с международными стандартами финансовой отчетности» и не менее четырнадцати вопросов по дисциплинам «Налоги и налогообложение» и «Гражданское право».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тестов составляются так, чтобы только один ответ был единственно правильным. Не допускается в тестовых вопросах конструкции теста по типу «Укажите наиболее точное определение» и в ответах по тесту конструкции по типу «Все ответы верны».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в тестах излагать ситуационные задачи с требованием указать правильный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оценки результатов экзаменов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формирования экзаменационных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оценки результатов экзамена;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кодирования/раскодирования экзаменационных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Экзаменационный билет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тестовые вопросы (не менее тридцати);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обязательную задачу (не менее одной);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дополнительную задачу (не менее одной).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оценки результатов экзамена содержат размеры баллов, присваиваемых за верные ответы тестов, за решение задач, а также общий суммарный балл для сдачи экзамена («проходной» балл), который составляет не менее пятидесяти процентов от общего балла. При этом в правилах оценки следует указать, что отсутствие решения обязательной задачи (при наличии нескольких обязательных задач - указать какой именно) является неудовлетворительным результатом сдачи экзамена независимо от результатов по другим заданиям.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Обязательная задача состоит из содержания задачи и задания для их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содержании задач указывается, за какой период и в каких единицах измерения представляется информация и по какой конкретной ситуации поставлена задача.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Обязательная задача состоит из не менее 8-10 заданий, при этом они одновременно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дисциплине «Бухгалтерский учет в соответствии с международными стандартами финансовой отчетности» - задание по составлению консолидированного бухгалтерского баланса, которое включает не менее четырех задач с арифметическим их решением по разным стандартам, согласно перечню тем по дисциплине «Бухгалтерский учет в соответствии с международными стандартами финансовой отчетности»;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дисциплине «Налоги и налогообложение» - задания по исчислению налогов и других обязательных платежей в бюджет (не менее двух видов) или сквозную задачу по одному виду налога или другого обязательного платежа в бюджет и задания ответить на вопросы по темам 1-5 и 20-21 согласно перечню тем по дисциплине «Налоги и налогообложение»;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3)по дисциплине «Гражданское право» - задания по не менее десяти темам согласно перечню тем по дисциплине «Гражданское право».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случае увеличения количества обязательных задач количество заданий пропорционально уменьшается.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Материалы для аккредитации не содержат ошибок, содержание изложено логически последовательно.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Условия при составлении материалов для аккредитации: объем не менее 200 страниц, шрифт Times New Roman, размер шрифта - не менее 12 пт.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Профессиональные организации должны иметь следующие рабочие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международным стандартом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повышению квалификации бухгалтеров;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вопросам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рассмотрению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организации также по усмотрению имеют другие рабочие органы, определенные ее уставом.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Материалы для аккредитации обновляются и представляются уполномоченному органу в течение тридцати календарных дней в случае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МСФО после официального размещения на сайте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законодательства Республики Казахстан со дня введения в действие.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тем по дисциплине «Бухгалтерский учет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 международными стандартами финансовой отчетности»*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2420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1 «Представление финансовой отчетности»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 «Запасы»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7 «Отчеты о движении денежных средств»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8 «Учетная политика, изменения в бухгалтерских оценках и ошибки»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10 «События после отчетной даты»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11 «Договоры на строительство»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12 «Налоги на прибыль»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16 «Основные средства»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17 «Аренда»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18 «Выручка»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19 «Вознаграждения работникам»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20 «Учет государственных субсидий и раскрытие информации о государственной помощи»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21 «Влияние изменений обменных курсов валют»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23 «Затраты по займам»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24 «Раскрытие информации о связанных сторонах»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26 «Учет и отчетность по пенсионным планам»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27 «консолидированная и отдельная финансовая отчетность»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28 «Инвестиции в ассоциированные предприятия»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29 «Финансовая отчетность в гиперинфляционной экономике»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31 «Участие в совместном предпринимательстве»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32 «финансовые инструменты: представление информации»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33 «Прибыль на акцию»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34 «промежуточная финансовая отчетность»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36 «Обесценение активов»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37 «Оценочные резервы, условные обязательства и условные активы»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38 «Нематериальные активы»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39 «Финансовые инструменты: признание и измерение»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40 «Инвестиционное имущество»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(IAS) 41 «Сельское хозяйство»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1 «Первое применение международных стандартов финансовой отчетности»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2 «Платеж, основанный на акциях»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3 «Объединение бизнеса»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4 «Договоры страхования»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5 «Долгосрочные активы, предназначенные для продажи, и прекращенная деятельность»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6 «Разведка и оценка запасов полезных ископаемых»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7 «Финансовые инструменты: раскрытие информации»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8 «Операционные сегменты»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9 «Финансовые инструменты»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10 «Консолидированная финансовая отчетность»**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11 «Совместные мероприятия»**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12 «Раскрытие интересов в других предприятиях(организациях)»**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МСФО (IFRS) 13 «Измерение справедливой стоимости»**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проверка знаний по данной дисциплине проводится путем письменного экзамена, который состоит из пяти вопросов, включающих расчетные и дискуссионные части. Вопрос по подготовке консолидированной финансовой отчетности группы является обязательным;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 момента введения в действие.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тем по дисциплине «Налоги и налогообложение»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Сущность налогов и налогообложения. Система налогов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платежей в бюджет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налоговых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Налоговое обязательство.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Налоговый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Налоговые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Корпоративный подоходный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Индивидуальный подоходный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Особенности международного налогообложения.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Налог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Акцизы.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Рентный налог на экспорт. Налогообложение недропользователей.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Социальный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Налог на транспортные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Земельный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Налог на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Налог на игорный бизнес. Фиксированный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Специальные налоговые режимы.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Другие обязательные платежи в бюджет. Сборы.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Другие обязательные платежи в бюджет.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Налоговое администрирование.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Налоговые проверки. Административная ответственность. Обжалование результатов проверки.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Перечень тем по дисциплине «Гражданское право»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Общие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Субъекты гражданских правоотношений.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Организационно-правовые формы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Объекты гражданских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Представительство. Доверенность.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в гражданском праве.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Право собственности и иные вещные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Правовое регулирование трудовых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Интеллектуальная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Банковское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Страхование.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сертификации бухгалтеров ___________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(дата)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по сертификации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Форма представления результатов по рассмотрению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профессиональной организацией материалов для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организации по сертификации в разрезе дисциплин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организации по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направления уполномоченным органом в адрес аккредитованной профессиональной организации материалов для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данном пункте необходимо по подпунктам описать соответствие и/или несоответствие содержания представленных материалов для аккредитации требованиям, изложенным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разрезе дисциплин «Бухгалтерский учет в соответствии с международными стандартами финансовой отчетности», «Налоги и налогообложение» и «Гражданское право», по следующей форме: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876"/>
        <w:gridCol w:w="3439"/>
        <w:gridCol w:w="2407"/>
        <w:gridCol w:w="2613"/>
        <w:gridCol w:w="2762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темы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экзаменационного задания,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тестового вопроса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основании изложенных данных в пункте 3, необходимо выразить итоговые выводы и рекомендации аккредитованной профессиональной организации по содержанию представленных материалов для аккредитации в разрезе дисциплин «Бухгалтерский учет в соответствии с международными стандартами финансовой отчетности», «Налоги и налогообложение» и «Гражданское право».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 аккредитованной профессиональной организации носят рекомендательный характер.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     ____________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