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fc3416" w14:textId="3fc341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Закона Республики Казахстан "О ратификации Соглашения о займе (КАЗСТАТ: Проект по укреплению национальной статистической системы) между Республикой Казахстан и Международным Банком Реконструкции и Развития"</w:t>
      </w:r>
    </w:p>
    <w:p>
      <w:pPr>
        <w:spacing w:after="0"/>
        <w:ind w:left="0"/>
        <w:jc w:val="both"/>
      </w:pPr>
      <w:r>
        <w:rPr>
          <w:rFonts w:ascii="Times New Roman"/>
          <w:b w:val="false"/>
          <w:i w:val="false"/>
          <w:color w:val="000000"/>
          <w:sz w:val="28"/>
        </w:rPr>
        <w:t>Постановление Правительства Республики Казахстан от 2 ноября 2011 года № 1275</w:t>
      </w:r>
    </w:p>
    <w:p>
      <w:pPr>
        <w:spacing w:after="0"/>
        <w:ind w:left="0"/>
        <w:jc w:val="both"/>
      </w:pPr>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br/>
      </w:r>
      <w:r>
        <w:rPr>
          <w:rFonts w:ascii="Times New Roman"/>
          <w:b w:val="false"/>
          <w:i w:val="false"/>
          <w:color w:val="000000"/>
          <w:sz w:val="28"/>
        </w:rPr>
        <w:t>
      внести на рассмотрение Мажилиса Парламента Республики Казахстан проект Закона Республики Казахстан «О ратификации Соглашения о займе (КАЗСТАТ: Проект по укреплению национальной статистической системы) между Республикой Казахстан и Международным Банком Реконструкции и Развития».</w:t>
      </w:r>
    </w:p>
    <w:p>
      <w:pPr>
        <w:spacing w:after="0"/>
        <w:ind w:left="0"/>
        <w:jc w:val="both"/>
      </w:pPr>
      <w:r>
        <w:rPr>
          <w:rFonts w:ascii="Times New Roman"/>
          <w:b w:val="false"/>
          <w:i/>
          <w:color w:val="000000"/>
          <w:sz w:val="28"/>
        </w:rPr>
        <w:t>      Премьер-Министр</w:t>
      </w:r>
      <w:r>
        <w:br/>
      </w:r>
      <w:r>
        <w:rPr>
          <w:rFonts w:ascii="Times New Roman"/>
          <w:b w:val="false"/>
          <w:i w:val="false"/>
          <w:color w:val="000000"/>
          <w:sz w:val="28"/>
        </w:rPr>
        <w:t>
</w:t>
      </w:r>
      <w:r>
        <w:rPr>
          <w:rFonts w:ascii="Times New Roman"/>
          <w:b w:val="false"/>
          <w:i/>
          <w:color w:val="000000"/>
          <w:sz w:val="28"/>
        </w:rPr>
        <w:t>      Республики Казахстан                       К. Масимов</w:t>
      </w:r>
    </w:p>
    <w:p>
      <w:pPr>
        <w:spacing w:after="0"/>
        <w:ind w:left="0"/>
        <w:jc w:val="both"/>
      </w:pPr>
      <w:r>
        <w:rPr>
          <w:rFonts w:ascii="Times New Roman"/>
          <w:b w:val="false"/>
          <w:i w:val="false"/>
          <w:color w:val="000000"/>
          <w:sz w:val="28"/>
        </w:rPr>
        <w:t>Проект</w:t>
      </w:r>
    </w:p>
    <w:p>
      <w:pPr>
        <w:spacing w:after="0"/>
        <w:ind w:left="0"/>
        <w:jc w:val="left"/>
      </w:pPr>
      <w:r>
        <w:rPr>
          <w:rFonts w:ascii="Times New Roman"/>
          <w:b/>
          <w:i w:val="false"/>
          <w:color w:val="000000"/>
        </w:rPr>
        <w:t xml:space="preserve"> ЗАКОН</w:t>
      </w:r>
      <w:r>
        <w:br/>
      </w:r>
      <w:r>
        <w:rPr>
          <w:rFonts w:ascii="Times New Roman"/>
          <w:b/>
          <w:i w:val="false"/>
          <w:color w:val="000000"/>
        </w:rPr>
        <w:t>
РЕСПУБЛИКИ КАЗАХСТАН О ратификации Соглашения о займе (КАЗСТАТ: Проект по укреплению</w:t>
      </w:r>
      <w:r>
        <w:br/>
      </w:r>
      <w:r>
        <w:rPr>
          <w:rFonts w:ascii="Times New Roman"/>
          <w:b/>
          <w:i w:val="false"/>
          <w:color w:val="000000"/>
        </w:rPr>
        <w:t>
национальной статистической системы) между Республикой</w:t>
      </w:r>
      <w:r>
        <w:br/>
      </w:r>
      <w:r>
        <w:rPr>
          <w:rFonts w:ascii="Times New Roman"/>
          <w:b/>
          <w:i w:val="false"/>
          <w:color w:val="000000"/>
        </w:rPr>
        <w:t>
Казахстан и Международным Банком Реконструкции и Развития</w:t>
      </w:r>
    </w:p>
    <w:p>
      <w:pPr>
        <w:spacing w:after="0"/>
        <w:ind w:left="0"/>
        <w:jc w:val="both"/>
      </w:pPr>
      <w:r>
        <w:rPr>
          <w:rFonts w:ascii="Times New Roman"/>
          <w:b w:val="false"/>
          <w:i w:val="false"/>
          <w:color w:val="000000"/>
          <w:sz w:val="28"/>
        </w:rPr>
        <w:t>      Ратифицировать Соглашение о займе (КАЗСТАТ: Проект по укреплению национальной статистической системы) между Республикой Казахстан и Международным Банком Реконструкции и Развития, совершенное 26 августа 2011 года в Астане.</w:t>
      </w:r>
    </w:p>
    <w:p>
      <w:pPr>
        <w:spacing w:after="0"/>
        <w:ind w:left="0"/>
        <w:jc w:val="both"/>
      </w:pPr>
      <w:r>
        <w:rPr>
          <w:rFonts w:ascii="Times New Roman"/>
          <w:b w:val="false"/>
          <w:i/>
          <w:color w:val="000000"/>
          <w:sz w:val="28"/>
        </w:rPr>
        <w:t>      Президент</w:t>
      </w:r>
      <w:r>
        <w:br/>
      </w:r>
      <w:r>
        <w:rPr>
          <w:rFonts w:ascii="Times New Roman"/>
          <w:b w:val="false"/>
          <w:i w:val="false"/>
          <w:color w:val="000000"/>
          <w:sz w:val="28"/>
        </w:rPr>
        <w:t>
</w:t>
      </w:r>
      <w:r>
        <w:rPr>
          <w:rFonts w:ascii="Times New Roman"/>
          <w:b w:val="false"/>
          <w:i/>
          <w:color w:val="000000"/>
          <w:sz w:val="28"/>
        </w:rPr>
        <w:t>      Республики Казахстан</w:t>
      </w:r>
    </w:p>
    <w:p>
      <w:pPr>
        <w:spacing w:after="0"/>
        <w:ind w:left="0"/>
        <w:jc w:val="both"/>
      </w:pPr>
      <w:r>
        <w:rPr>
          <w:rFonts w:ascii="Times New Roman"/>
          <w:b w:val="false"/>
          <w:i w:val="false"/>
          <w:color w:val="000000"/>
          <w:sz w:val="28"/>
        </w:rPr>
        <w:t>ЗАЕМ НОМЕР 8023-KZ</w:t>
      </w:r>
    </w:p>
    <w:p>
      <w:pPr>
        <w:spacing w:after="0"/>
        <w:ind w:left="0"/>
        <w:jc w:val="left"/>
      </w:pPr>
      <w:r>
        <w:rPr>
          <w:rFonts w:ascii="Times New Roman"/>
          <w:b/>
          <w:i w:val="false"/>
          <w:color w:val="000000"/>
        </w:rPr>
        <w:t xml:space="preserve"> Соглашение о займе</w:t>
      </w:r>
      <w:r>
        <w:br/>
      </w:r>
      <w:r>
        <w:rPr>
          <w:rFonts w:ascii="Times New Roman"/>
          <w:b/>
          <w:i w:val="false"/>
          <w:color w:val="000000"/>
        </w:rPr>
        <w:t>
      (КАЗСТАТ: Проект по укреплению национальной статистической системы) между РЕСПУБЛИКОЙ КАЗАХСТАН</w:t>
      </w:r>
      <w:r>
        <w:br/>
      </w:r>
      <w:r>
        <w:rPr>
          <w:rFonts w:ascii="Times New Roman"/>
          <w:b/>
          <w:i w:val="false"/>
          <w:color w:val="000000"/>
        </w:rPr>
        <w:t>
      и МЕЖДУНАРОДНЫМ БАНКОМ РЕКОНСТРУКЦИИ И РАЗВИТИЯ</w:t>
      </w:r>
    </w:p>
    <w:p>
      <w:pPr>
        <w:spacing w:after="0"/>
        <w:ind w:left="0"/>
        <w:jc w:val="both"/>
      </w:pPr>
      <w:r>
        <w:rPr>
          <w:rFonts w:ascii="Times New Roman"/>
          <w:b w:val="false"/>
          <w:i w:val="false"/>
          <w:color w:val="000000"/>
          <w:sz w:val="28"/>
        </w:rPr>
        <w:t>Дата 26 августа 2011 года</w:t>
      </w:r>
    </w:p>
    <w:p>
      <w:pPr>
        <w:spacing w:after="0"/>
        <w:ind w:left="0"/>
        <w:jc w:val="left"/>
      </w:pPr>
      <w:r>
        <w:rPr>
          <w:rFonts w:ascii="Times New Roman"/>
          <w:b/>
          <w:i w:val="false"/>
          <w:color w:val="000000"/>
        </w:rPr>
        <w:t xml:space="preserve"> СОГЛАШЕНИЕ О ЗАЙМЕ</w:t>
      </w:r>
    </w:p>
    <w:p>
      <w:pPr>
        <w:spacing w:after="0"/>
        <w:ind w:left="0"/>
        <w:jc w:val="both"/>
      </w:pPr>
      <w:r>
        <w:rPr>
          <w:rFonts w:ascii="Times New Roman"/>
          <w:b w:val="false"/>
          <w:i w:val="false"/>
          <w:color w:val="000000"/>
          <w:sz w:val="28"/>
        </w:rPr>
        <w:t xml:space="preserve">      Соглашение </w:t>
      </w:r>
      <w:r>
        <w:rPr>
          <w:rFonts w:ascii="Times New Roman"/>
          <w:b w:val="false"/>
          <w:i w:val="false"/>
          <w:color w:val="000000"/>
          <w:sz w:val="28"/>
          <w:u w:val="single"/>
        </w:rPr>
        <w:t>от 26 августа 2011 года</w:t>
      </w:r>
      <w:r>
        <w:rPr>
          <w:rFonts w:ascii="Times New Roman"/>
          <w:b w:val="false"/>
          <w:i w:val="false"/>
          <w:color w:val="000000"/>
          <w:sz w:val="28"/>
        </w:rPr>
        <w:t xml:space="preserve"> между РЕСПУБЛИКОЙ КАЗАХСТАН (Заемщик) и МЕЖДУНАРОДНЫМ БАНКОМ РЕКОНСТРУКЦИИ И РАЗВИТИЯ (Банк). Настоящим Заемщик и Банк договариваются о следующем:</w:t>
      </w:r>
    </w:p>
    <w:p>
      <w:pPr>
        <w:spacing w:after="0"/>
        <w:ind w:left="0"/>
        <w:jc w:val="left"/>
      </w:pPr>
      <w:r>
        <w:rPr>
          <w:rFonts w:ascii="Times New Roman"/>
          <w:b/>
          <w:i w:val="false"/>
          <w:color w:val="000000"/>
        </w:rPr>
        <w:t xml:space="preserve"> СТАТЬЯ I - ОБЩИЕ УСЛОВИЯ; ОПРЕДЕЛЕНИЯ</w:t>
      </w:r>
    </w:p>
    <w:p>
      <w:pPr>
        <w:spacing w:after="0"/>
        <w:ind w:left="0"/>
        <w:jc w:val="both"/>
      </w:pPr>
      <w:r>
        <w:rPr>
          <w:rFonts w:ascii="Times New Roman"/>
          <w:b w:val="false"/>
          <w:i w:val="false"/>
          <w:color w:val="000000"/>
          <w:sz w:val="28"/>
        </w:rPr>
        <w:t>      1.01. Общие условия (определенные в Дополнении к настоящему Соглашению) являются неотъемлемой частью настоящего Соглашения.</w:t>
      </w:r>
      <w:r>
        <w:br/>
      </w:r>
      <w:r>
        <w:rPr>
          <w:rFonts w:ascii="Times New Roman"/>
          <w:b w:val="false"/>
          <w:i w:val="false"/>
          <w:color w:val="000000"/>
          <w:sz w:val="28"/>
        </w:rPr>
        <w:t>
      1.02. Если из контекста не следует иного, термины, начинающиеся с заглавных букв, используемые в Соглашении имеют значения, закрепленные за ними в Общих условиях или в Дополнении к настоящему Соглашению.</w:t>
      </w:r>
    </w:p>
    <w:p>
      <w:pPr>
        <w:spacing w:after="0"/>
        <w:ind w:left="0"/>
        <w:jc w:val="left"/>
      </w:pPr>
      <w:r>
        <w:rPr>
          <w:rFonts w:ascii="Times New Roman"/>
          <w:b/>
          <w:i w:val="false"/>
          <w:color w:val="000000"/>
        </w:rPr>
        <w:t xml:space="preserve"> СТАТЬЯ II - ЗАЕМ</w:t>
      </w:r>
    </w:p>
    <w:p>
      <w:pPr>
        <w:spacing w:after="0"/>
        <w:ind w:left="0"/>
        <w:jc w:val="both"/>
      </w:pPr>
      <w:r>
        <w:rPr>
          <w:rFonts w:ascii="Times New Roman"/>
          <w:b w:val="false"/>
          <w:i w:val="false"/>
          <w:color w:val="000000"/>
          <w:sz w:val="28"/>
        </w:rPr>
        <w:t>      2.01. Банк предоставляет Заемщику сумму в двадцать миллионов долларов США ($20,000,000) (Заем) на срок и условиях, изложенных или указанных в настоящем Соглашении, для поддержки финансирования Проекта, описанного в Приложении 1 к настоящему Соглашению (Проект).</w:t>
      </w:r>
      <w:r>
        <w:br/>
      </w:r>
      <w:r>
        <w:rPr>
          <w:rFonts w:ascii="Times New Roman"/>
          <w:b w:val="false"/>
          <w:i w:val="false"/>
          <w:color w:val="000000"/>
          <w:sz w:val="28"/>
        </w:rPr>
        <w:t>
      2.02. Заемщик вправе снимать средства Займа в соответствии с Разделом IV Приложения 2 к настоящему Соглашению.</w:t>
      </w:r>
      <w:r>
        <w:br/>
      </w:r>
      <w:r>
        <w:rPr>
          <w:rFonts w:ascii="Times New Roman"/>
          <w:b w:val="false"/>
          <w:i w:val="false"/>
          <w:color w:val="000000"/>
          <w:sz w:val="28"/>
        </w:rPr>
        <w:t>
      2.03. Заемщик уплачивает Банку комиссию за резервирование средств Займа, равную четверти одного процента (0.25%) от суммы Займа.</w:t>
      </w:r>
      <w:r>
        <w:br/>
      </w:r>
      <w:r>
        <w:rPr>
          <w:rFonts w:ascii="Times New Roman"/>
          <w:b w:val="false"/>
          <w:i w:val="false"/>
          <w:color w:val="000000"/>
          <w:sz w:val="28"/>
        </w:rPr>
        <w:t>
      2.04. Заемщик уплачивает вознаграждение в течение каждого Процентного периода по ставке, равной референтной ставке для Валюты Займа плюс Плавающий спрэд; при условии, что при Конверсии всей или любой части основной суммы Займа вознаграждение, подлежащее выплате Заемщиком во время Периода Конверсии на такую сумму, должно быть определено в соответствии с условиями Статьи IV Общих условий. Несмотря на вышесказанное, в случае, если любая из частей суммы снятых средств Займа остается неуплаченной своевременно, и не выплачивается в течение тридцати дней, то размер вознаграждения, подлежащего выплате Заемщиком должен рассчитываться в соответствии с положениями Раздела 3.02 (е) Общих положений.</w:t>
      </w:r>
      <w:r>
        <w:br/>
      </w:r>
      <w:r>
        <w:rPr>
          <w:rFonts w:ascii="Times New Roman"/>
          <w:b w:val="false"/>
          <w:i w:val="false"/>
          <w:color w:val="000000"/>
          <w:sz w:val="28"/>
        </w:rPr>
        <w:t>
      2.05. Даты Платежей: 15 апреля и 15 октября каждого года.</w:t>
      </w:r>
      <w:r>
        <w:br/>
      </w:r>
      <w:r>
        <w:rPr>
          <w:rFonts w:ascii="Times New Roman"/>
          <w:b w:val="false"/>
          <w:i w:val="false"/>
          <w:color w:val="000000"/>
          <w:sz w:val="28"/>
        </w:rPr>
        <w:t>
      2.06. Заемщик погашает основную сумму Займа в соответствии с графиком погашения в Приложении 3 к настоящему Соглашению.</w:t>
      </w:r>
      <w:r>
        <w:br/>
      </w:r>
      <w:r>
        <w:rPr>
          <w:rFonts w:ascii="Times New Roman"/>
          <w:b w:val="false"/>
          <w:i w:val="false"/>
          <w:color w:val="000000"/>
          <w:sz w:val="28"/>
        </w:rPr>
        <w:t>
      2.07. (a) Заемщик может в любое время запросить любую из следующих Конверсий условий Займа с тем, чтобы обеспечить рациональное управление долгом: (i) изменение Валюты Займа всей или любой части основной суммы Займа, как снятой, так и неснятой, на Одобренную Валюту; (ii) изменение базиса процентной ставки, применяемого ко всей или любой части снятой и непогашенной основной суммы Займа, с Плавающей процентной ставки на Фиксированную процентную ставку, и наоборот, или Плавающей процентной ставки основанной на плавающем спрэде на Плавающую процентную ставку, основанную на фиксированном спрэде, и (iii) определение пределов Плавающей процентной ставки, применимой ко всей или любой части снятой и непогашенной основной суммы Займа посредством установления Верхнего Предела Процентной Ставки или Верхнего и Нижнего Пределов Процентной Ставки Плавающей ставки.</w:t>
      </w:r>
      <w:r>
        <w:br/>
      </w:r>
      <w:r>
        <w:rPr>
          <w:rFonts w:ascii="Times New Roman"/>
          <w:b w:val="false"/>
          <w:i w:val="false"/>
          <w:color w:val="000000"/>
          <w:sz w:val="28"/>
        </w:rPr>
        <w:t>
      (b) Любое изменение, запрошенное в соответствии с подпунктом (a) настоящего пункта, которое принято Банком, будет считаться «Конверсией», как определено в Общих условиях, и вступит в силу в соответствии с положениями Статьи IV Общих условий и Руководства по Конверсии.</w:t>
      </w:r>
    </w:p>
    <w:p>
      <w:pPr>
        <w:spacing w:after="0"/>
        <w:ind w:left="0"/>
        <w:jc w:val="left"/>
      </w:pPr>
      <w:r>
        <w:rPr>
          <w:rFonts w:ascii="Times New Roman"/>
          <w:b/>
          <w:i w:val="false"/>
          <w:color w:val="000000"/>
        </w:rPr>
        <w:t xml:space="preserve"> СТАТЬЯ III - ПРОЕКТ</w:t>
      </w:r>
    </w:p>
    <w:p>
      <w:pPr>
        <w:spacing w:after="0"/>
        <w:ind w:left="0"/>
        <w:jc w:val="both"/>
      </w:pPr>
      <w:r>
        <w:rPr>
          <w:rFonts w:ascii="Times New Roman"/>
          <w:b w:val="false"/>
          <w:i w:val="false"/>
          <w:color w:val="000000"/>
          <w:sz w:val="28"/>
        </w:rPr>
        <w:t>      3.01. Заемщик заявляет о своей приверженности целям Проекта и с этой целью реализует Проект через Агентство Республики Казахстан по статистике в соответствии с положениями Статьи V Общих условий.</w:t>
      </w:r>
      <w:r>
        <w:br/>
      </w:r>
      <w:r>
        <w:rPr>
          <w:rFonts w:ascii="Times New Roman"/>
          <w:b w:val="false"/>
          <w:i w:val="false"/>
          <w:color w:val="000000"/>
          <w:sz w:val="28"/>
        </w:rPr>
        <w:t>
      3.02. Без ограничения для положений пункта 3.01 настоящего Соглашения и, если иное не согласовано между Заемщиком и Банком, Заемщик обеспечивает реализацию Проекта в соответствии с Приложением 2 к настоящему Соглашению.</w:t>
      </w:r>
    </w:p>
    <w:p>
      <w:pPr>
        <w:spacing w:after="0"/>
        <w:ind w:left="0"/>
        <w:jc w:val="left"/>
      </w:pPr>
      <w:r>
        <w:rPr>
          <w:rFonts w:ascii="Times New Roman"/>
          <w:b/>
          <w:i w:val="false"/>
          <w:color w:val="000000"/>
        </w:rPr>
        <w:t xml:space="preserve"> СТАТЬЯ IV - ВСТУПЛЕНИЕ ЗАЙМА В СИЛУ; РАСТОРЖЕНИЕ</w:t>
      </w:r>
    </w:p>
    <w:p>
      <w:pPr>
        <w:spacing w:after="0"/>
        <w:ind w:left="0"/>
        <w:jc w:val="both"/>
      </w:pPr>
      <w:r>
        <w:rPr>
          <w:rFonts w:ascii="Times New Roman"/>
          <w:b w:val="false"/>
          <w:i w:val="false"/>
          <w:color w:val="000000"/>
          <w:sz w:val="28"/>
        </w:rPr>
        <w:t>      4.01. Дополнительные условия вступления в силу заключаются в следующем:</w:t>
      </w:r>
      <w:r>
        <w:br/>
      </w:r>
      <w:r>
        <w:rPr>
          <w:rFonts w:ascii="Times New Roman"/>
          <w:b w:val="false"/>
          <w:i w:val="false"/>
          <w:color w:val="000000"/>
          <w:sz w:val="28"/>
        </w:rPr>
        <w:t>
      (a) ГРП создана Заемщиком через АРКС, состав, ресурсы и технические задания которой являются приемлемыми для Банка.</w:t>
      </w:r>
      <w:r>
        <w:br/>
      </w:r>
      <w:r>
        <w:rPr>
          <w:rFonts w:ascii="Times New Roman"/>
          <w:b w:val="false"/>
          <w:i w:val="false"/>
          <w:color w:val="000000"/>
          <w:sz w:val="28"/>
        </w:rPr>
        <w:t>
      (b) КРГ создана Заемщиком, состав, ресурсы и технические задания которой являются приемлемыми для Банка.</w:t>
      </w:r>
      <w:r>
        <w:br/>
      </w:r>
      <w:r>
        <w:rPr>
          <w:rFonts w:ascii="Times New Roman"/>
          <w:b w:val="false"/>
          <w:i w:val="false"/>
          <w:color w:val="000000"/>
          <w:sz w:val="28"/>
        </w:rPr>
        <w:t>
      (с) Заемщиком принято Руководство по реализации Проекта, удовлетворительное для Банка.</w:t>
      </w:r>
      <w:r>
        <w:br/>
      </w:r>
      <w:r>
        <w:rPr>
          <w:rFonts w:ascii="Times New Roman"/>
          <w:b w:val="false"/>
          <w:i w:val="false"/>
          <w:color w:val="000000"/>
          <w:sz w:val="28"/>
        </w:rPr>
        <w:t>
      4.02. Последним сроком вступления в силу является дата, наступающая по истечении 180 (ста восьмидесяти) дней после даты настоящего Соглашения.</w:t>
      </w:r>
    </w:p>
    <w:p>
      <w:pPr>
        <w:spacing w:after="0"/>
        <w:ind w:left="0"/>
        <w:jc w:val="left"/>
      </w:pPr>
      <w:r>
        <w:rPr>
          <w:rFonts w:ascii="Times New Roman"/>
          <w:b/>
          <w:i w:val="false"/>
          <w:color w:val="000000"/>
        </w:rPr>
        <w:t xml:space="preserve"> СТАТЬЯ V - ПРЕДСТАВИТЕЛЬ ЗАЕМЩИКА; АДРЕСА</w:t>
      </w:r>
    </w:p>
    <w:p>
      <w:pPr>
        <w:spacing w:after="0"/>
        <w:ind w:left="0"/>
        <w:jc w:val="both"/>
      </w:pPr>
      <w:r>
        <w:rPr>
          <w:rFonts w:ascii="Times New Roman"/>
          <w:b w:val="false"/>
          <w:i w:val="false"/>
          <w:color w:val="000000"/>
          <w:sz w:val="28"/>
        </w:rPr>
        <w:t>      5.01. Представителем заемщика является Министр финансов.</w:t>
      </w:r>
      <w:r>
        <w:br/>
      </w:r>
      <w:r>
        <w:rPr>
          <w:rFonts w:ascii="Times New Roman"/>
          <w:b w:val="false"/>
          <w:i w:val="false"/>
          <w:color w:val="000000"/>
          <w:sz w:val="28"/>
        </w:rPr>
        <w:t>
      5.02. Адрес Заемщика:</w:t>
      </w:r>
    </w:p>
    <w:p>
      <w:pPr>
        <w:spacing w:after="0"/>
        <w:ind w:left="0"/>
        <w:jc w:val="both"/>
      </w:pPr>
      <w:r>
        <w:rPr>
          <w:rFonts w:ascii="Times New Roman"/>
          <w:b w:val="false"/>
          <w:i w:val="false"/>
          <w:color w:val="000000"/>
          <w:sz w:val="28"/>
        </w:rPr>
        <w:t>      Министерство финансов</w:t>
      </w:r>
      <w:r>
        <w:br/>
      </w:r>
      <w:r>
        <w:rPr>
          <w:rFonts w:ascii="Times New Roman"/>
          <w:b w:val="false"/>
          <w:i w:val="false"/>
          <w:color w:val="000000"/>
          <w:sz w:val="28"/>
        </w:rPr>
        <w:t>
      Проспект Победы, 11</w:t>
      </w:r>
      <w:r>
        <w:br/>
      </w:r>
      <w:r>
        <w:rPr>
          <w:rFonts w:ascii="Times New Roman"/>
          <w:b w:val="false"/>
          <w:i w:val="false"/>
          <w:color w:val="000000"/>
          <w:sz w:val="28"/>
        </w:rPr>
        <w:t>
      Астана, 010000</w:t>
      </w:r>
      <w:r>
        <w:br/>
      </w:r>
      <w:r>
        <w:rPr>
          <w:rFonts w:ascii="Times New Roman"/>
          <w:b w:val="false"/>
          <w:i w:val="false"/>
          <w:color w:val="000000"/>
          <w:sz w:val="28"/>
        </w:rPr>
        <w:t>
      Республика Казахстан</w:t>
      </w:r>
    </w:p>
    <w:p>
      <w:pPr>
        <w:spacing w:after="0"/>
        <w:ind w:left="0"/>
        <w:jc w:val="both"/>
      </w:pPr>
      <w:r>
        <w:rPr>
          <w:rFonts w:ascii="Times New Roman"/>
          <w:b w:val="false"/>
          <w:i w:val="false"/>
          <w:color w:val="000000"/>
          <w:sz w:val="28"/>
        </w:rPr>
        <w:t>      Телекс:             Факс:</w:t>
      </w:r>
      <w:r>
        <w:br/>
      </w:r>
      <w:r>
        <w:rPr>
          <w:rFonts w:ascii="Times New Roman"/>
          <w:b w:val="false"/>
          <w:i w:val="false"/>
          <w:color w:val="000000"/>
          <w:sz w:val="28"/>
        </w:rPr>
        <w:t>
      265126 (FILIN)      7-7172-717785</w:t>
      </w:r>
    </w:p>
    <w:p>
      <w:pPr>
        <w:spacing w:after="0"/>
        <w:ind w:left="0"/>
        <w:jc w:val="both"/>
      </w:pPr>
      <w:r>
        <w:rPr>
          <w:rFonts w:ascii="Times New Roman"/>
          <w:b w:val="false"/>
          <w:i w:val="false"/>
          <w:color w:val="000000"/>
          <w:sz w:val="28"/>
        </w:rPr>
        <w:t>      5.03. Адрес Банка:</w:t>
      </w:r>
    </w:p>
    <w:p>
      <w:pPr>
        <w:spacing w:after="0"/>
        <w:ind w:left="0"/>
        <w:jc w:val="both"/>
      </w:pPr>
      <w:r>
        <w:rPr>
          <w:rFonts w:ascii="Times New Roman"/>
          <w:b w:val="false"/>
          <w:i w:val="false"/>
          <w:color w:val="000000"/>
          <w:sz w:val="28"/>
        </w:rPr>
        <w:t>      Международный Банк Реконструкции и Развития</w:t>
      </w:r>
      <w:r>
        <w:br/>
      </w:r>
      <w:r>
        <w:rPr>
          <w:rFonts w:ascii="Times New Roman"/>
          <w:b w:val="false"/>
          <w:i w:val="false"/>
          <w:color w:val="000000"/>
          <w:sz w:val="28"/>
        </w:rPr>
        <w:t>
      1818 H Street, N.W.</w:t>
      </w:r>
      <w:r>
        <w:br/>
      </w:r>
      <w:r>
        <w:rPr>
          <w:rFonts w:ascii="Times New Roman"/>
          <w:b w:val="false"/>
          <w:i w:val="false"/>
          <w:color w:val="000000"/>
          <w:sz w:val="28"/>
        </w:rPr>
        <w:t>
      Washington, D.C. 20433</w:t>
      </w:r>
      <w:r>
        <w:br/>
      </w:r>
      <w:r>
        <w:rPr>
          <w:rFonts w:ascii="Times New Roman"/>
          <w:b w:val="false"/>
          <w:i w:val="false"/>
          <w:color w:val="000000"/>
          <w:sz w:val="28"/>
        </w:rPr>
        <w:t>
      United States of America</w:t>
      </w:r>
    </w:p>
    <w:p>
      <w:pPr>
        <w:spacing w:after="0"/>
        <w:ind w:left="0"/>
        <w:jc w:val="both"/>
      </w:pPr>
      <w:r>
        <w:rPr>
          <w:rFonts w:ascii="Times New Roman"/>
          <w:b w:val="false"/>
          <w:i w:val="false"/>
          <w:color w:val="000000"/>
          <w:sz w:val="28"/>
        </w:rPr>
        <w:t>      Телеграф:        Телекс:             Факс:</w:t>
      </w:r>
      <w:r>
        <w:br/>
      </w:r>
      <w:r>
        <w:rPr>
          <w:rFonts w:ascii="Times New Roman"/>
          <w:b w:val="false"/>
          <w:i w:val="false"/>
          <w:color w:val="000000"/>
          <w:sz w:val="28"/>
        </w:rPr>
        <w:t>
      INTBAFRAD        248423(MCI) or      1-202-477-6391</w:t>
      </w:r>
      <w:r>
        <w:br/>
      </w:r>
      <w:r>
        <w:rPr>
          <w:rFonts w:ascii="Times New Roman"/>
          <w:b w:val="false"/>
          <w:i w:val="false"/>
          <w:color w:val="000000"/>
          <w:sz w:val="28"/>
        </w:rPr>
        <w:t>
      Washington, D.C. 64145(MCI)</w:t>
      </w:r>
    </w:p>
    <w:p>
      <w:pPr>
        <w:spacing w:after="0"/>
        <w:ind w:left="0"/>
        <w:jc w:val="both"/>
      </w:pPr>
      <w:r>
        <w:rPr>
          <w:rFonts w:ascii="Times New Roman"/>
          <w:b w:val="false"/>
          <w:i w:val="false"/>
          <w:color w:val="000000"/>
          <w:sz w:val="28"/>
        </w:rPr>
        <w:t>      СОГЛАСОВАНО _____________, __________, в день и год, указанные выше.</w:t>
      </w:r>
    </w:p>
    <w:p>
      <w:pPr>
        <w:spacing w:after="0"/>
        <w:ind w:left="0"/>
        <w:jc w:val="both"/>
      </w:pPr>
      <w:r>
        <w:rPr>
          <w:rFonts w:ascii="Times New Roman"/>
          <w:b w:val="false"/>
          <w:i/>
          <w:color w:val="000000"/>
          <w:sz w:val="28"/>
        </w:rPr>
        <w:t>ЗА РЕСПУБЛИКУ КАЗАХСТАН Уполномоченный представитель</w:t>
      </w:r>
    </w:p>
    <w:p>
      <w:pPr>
        <w:spacing w:after="0"/>
        <w:ind w:left="0"/>
        <w:jc w:val="both"/>
      </w:pPr>
      <w:r>
        <w:rPr>
          <w:rFonts w:ascii="Times New Roman"/>
          <w:b w:val="false"/>
          <w:i/>
          <w:color w:val="000000"/>
          <w:sz w:val="28"/>
        </w:rPr>
        <w:t>ЗА МЕЖДУНАРОДНЫЙ БАНК</w:t>
      </w:r>
      <w:r>
        <w:br/>
      </w:r>
      <w:r>
        <w:rPr>
          <w:rFonts w:ascii="Times New Roman"/>
          <w:b w:val="false"/>
          <w:i w:val="false"/>
          <w:color w:val="000000"/>
          <w:sz w:val="28"/>
        </w:rPr>
        <w:t>
</w:t>
      </w:r>
      <w:r>
        <w:rPr>
          <w:rFonts w:ascii="Times New Roman"/>
          <w:b w:val="false"/>
          <w:i/>
          <w:color w:val="000000"/>
          <w:sz w:val="28"/>
        </w:rPr>
        <w:t>РЕКОНСТРУКЦИИ И РАЗВИТИЯ Уполномоченный представитель</w:t>
      </w:r>
    </w:p>
    <w:p>
      <w:pPr>
        <w:spacing w:after="0"/>
        <w:ind w:left="0"/>
        <w:jc w:val="left"/>
      </w:pPr>
      <w:r>
        <w:rPr>
          <w:rFonts w:ascii="Times New Roman"/>
          <w:b/>
          <w:i w:val="false"/>
          <w:color w:val="000000"/>
        </w:rPr>
        <w:t xml:space="preserve"> ПРИЛОЖЕНИЕ 1 Описание Проекта</w:t>
      </w:r>
    </w:p>
    <w:p>
      <w:pPr>
        <w:spacing w:after="0"/>
        <w:ind w:left="0"/>
        <w:jc w:val="both"/>
      </w:pPr>
      <w:r>
        <w:rPr>
          <w:rFonts w:ascii="Times New Roman"/>
          <w:b w:val="false"/>
          <w:i w:val="false"/>
          <w:color w:val="000000"/>
          <w:sz w:val="28"/>
        </w:rPr>
        <w:t>      Целью Проекта является повышение эффективности и результативности национальной статистической системы с целью обеспечения необходимыми, своевременными и достоверными данными в соответствии с международными методиками и лучшей практикой.</w:t>
      </w:r>
    </w:p>
    <w:p>
      <w:pPr>
        <w:spacing w:after="0"/>
        <w:ind w:left="0"/>
        <w:jc w:val="both"/>
      </w:pPr>
      <w:r>
        <w:rPr>
          <w:rFonts w:ascii="Times New Roman"/>
          <w:b w:val="false"/>
          <w:i w:val="false"/>
          <w:color w:val="000000"/>
          <w:sz w:val="28"/>
        </w:rPr>
        <w:t>      Проект состоит из следующих компонентов:</w:t>
      </w:r>
    </w:p>
    <w:p>
      <w:pPr>
        <w:spacing w:after="0"/>
        <w:ind w:left="0"/>
        <w:jc w:val="both"/>
      </w:pPr>
      <w:r>
        <w:rPr>
          <w:rFonts w:ascii="Times New Roman"/>
          <w:b w:val="false"/>
          <w:i w:val="false"/>
          <w:color w:val="000000"/>
          <w:sz w:val="28"/>
          <w:u w:val="single"/>
        </w:rPr>
        <w:t>Компонент 1: Совершенствование институциональной среды и операционного обеспечения статистической системы</w:t>
      </w:r>
    </w:p>
    <w:p>
      <w:pPr>
        <w:spacing w:after="0"/>
        <w:ind w:left="0"/>
        <w:jc w:val="both"/>
      </w:pPr>
      <w:r>
        <w:rPr>
          <w:rFonts w:ascii="Times New Roman"/>
          <w:b w:val="false"/>
          <w:i w:val="false"/>
          <w:color w:val="000000"/>
          <w:sz w:val="28"/>
        </w:rPr>
        <w:t>      Предоставление товаров, консультационных услуг, программ обучения для следующих целей: (a) улучшение законодательной базы, координирующей взаимодействие между правительственными учреждениями, занятыми производством статистических данных; (b) рационализация институциональной структуры АРКС; (c) улучшение процедур и методологии стратегического планирования; (d) разработка и внедрение системы учета нагрузки на персонал; (e) внедрение программы управления качеством; (f) улучшение состояния мебели и оборудования.</w:t>
      </w:r>
    </w:p>
    <w:p>
      <w:pPr>
        <w:spacing w:after="0"/>
        <w:ind w:left="0"/>
        <w:jc w:val="both"/>
      </w:pPr>
      <w:r>
        <w:rPr>
          <w:rFonts w:ascii="Times New Roman"/>
          <w:b w:val="false"/>
          <w:i w:val="false"/>
          <w:color w:val="000000"/>
          <w:sz w:val="28"/>
          <w:u w:val="single"/>
        </w:rPr>
        <w:t>Компонент 2: Улучшение информационно-коммуникационных систем и физической инфраструктуры</w:t>
      </w:r>
    </w:p>
    <w:p>
      <w:pPr>
        <w:spacing w:after="0"/>
        <w:ind w:left="0"/>
        <w:jc w:val="both"/>
      </w:pPr>
      <w:r>
        <w:rPr>
          <w:rFonts w:ascii="Times New Roman"/>
          <w:b w:val="false"/>
          <w:i w:val="false"/>
          <w:color w:val="000000"/>
          <w:sz w:val="28"/>
        </w:rPr>
        <w:t>      Предоставление товаров, консультационных услуг, программ обучения для следующих целей: (a) улучшение интегрированной системы обработки данных; (b) повышение квалификации персонала департамента ИКТ; (c) обновление компьютерного оборудования и программного обеспечения АРКС в целях ускорения процесса обработки данных; и (d) улучшение существующей корпоративной сети коммуникаций АРКС.</w:t>
      </w:r>
    </w:p>
    <w:p>
      <w:pPr>
        <w:spacing w:after="0"/>
        <w:ind w:left="0"/>
        <w:jc w:val="both"/>
      </w:pPr>
      <w:r>
        <w:rPr>
          <w:rFonts w:ascii="Times New Roman"/>
          <w:b w:val="false"/>
          <w:i w:val="false"/>
          <w:color w:val="000000"/>
          <w:sz w:val="28"/>
          <w:u w:val="single"/>
        </w:rPr>
        <w:t>Компонент 3: Развитие кадрового потенциала</w:t>
      </w:r>
    </w:p>
    <w:p>
      <w:pPr>
        <w:spacing w:after="0"/>
        <w:ind w:left="0"/>
        <w:jc w:val="both"/>
      </w:pPr>
      <w:r>
        <w:rPr>
          <w:rFonts w:ascii="Times New Roman"/>
          <w:b w:val="false"/>
          <w:i w:val="false"/>
          <w:color w:val="000000"/>
          <w:sz w:val="28"/>
        </w:rPr>
        <w:t>      Предоставление товаров, консультационных услуг, программ обучения для следующих целей: (a) внедрение новых методов управления, развития карьеры и практики назначения на должность в АРКС; (b) разработка и внедрение стратегии обучения в АРКС; (c) разработка и внедрение программы АРКС обучению своего персонала за границей; и (d) пересмотр существующих процедур и политики найма в АРКС.</w:t>
      </w:r>
    </w:p>
    <w:p>
      <w:pPr>
        <w:spacing w:after="0"/>
        <w:ind w:left="0"/>
        <w:jc w:val="both"/>
      </w:pPr>
      <w:r>
        <w:rPr>
          <w:rFonts w:ascii="Times New Roman"/>
          <w:b w:val="false"/>
          <w:i w:val="false"/>
          <w:color w:val="000000"/>
          <w:sz w:val="28"/>
          <w:u w:val="single"/>
        </w:rPr>
        <w:t>Компонент 4: Улучшение статистической инфраструктуры, стандартов и методологий</w:t>
      </w:r>
    </w:p>
    <w:p>
      <w:pPr>
        <w:spacing w:after="0"/>
        <w:ind w:left="0"/>
        <w:jc w:val="both"/>
      </w:pPr>
      <w:r>
        <w:rPr>
          <w:rFonts w:ascii="Times New Roman"/>
          <w:b w:val="false"/>
          <w:i w:val="false"/>
          <w:color w:val="000000"/>
          <w:sz w:val="28"/>
        </w:rPr>
        <w:t>      Предоставление товаров, консультационных услуг, программ обучения для следующих целей: (a) актуализация Бизнес регистра; (b) улучшение регистра населения; (c) совершенствование регистра объектов жилого фонда; (d) улучшение сельскохозяйственного регистра; (e) совершенствование классификаторов и стандартов; (f) развитие статистического инструментария; (g) совершенствование методов формирования выборки для обследований; (h) формирование временных рядов и внедрение методов сезонного сглаживания; и (i) усиление аналитической функции АРКС.</w:t>
      </w:r>
    </w:p>
    <w:p>
      <w:pPr>
        <w:spacing w:after="0"/>
        <w:ind w:left="0"/>
        <w:jc w:val="both"/>
      </w:pPr>
      <w:r>
        <w:rPr>
          <w:rFonts w:ascii="Times New Roman"/>
          <w:b w:val="false"/>
          <w:i w:val="false"/>
          <w:color w:val="000000"/>
          <w:sz w:val="28"/>
          <w:u w:val="single"/>
        </w:rPr>
        <w:t>Компонент 5: Совершенствование работы с пользователями и респондентами</w:t>
      </w:r>
    </w:p>
    <w:p>
      <w:pPr>
        <w:spacing w:after="0"/>
        <w:ind w:left="0"/>
        <w:jc w:val="both"/>
      </w:pPr>
      <w:r>
        <w:rPr>
          <w:rFonts w:ascii="Times New Roman"/>
          <w:b w:val="false"/>
          <w:i w:val="false"/>
          <w:color w:val="000000"/>
          <w:sz w:val="28"/>
        </w:rPr>
        <w:t>      Предоставление товаров, консультационных услуг, программ обучения для следующих целей: (a) совершенствование политики взаимоотношений с пользователями; (b) совершенствование распространения и маркетинга статистической информации; (c) улучшение политики по работе с респондентами; и (d) улучшение web-портала АРКС.</w:t>
      </w:r>
    </w:p>
    <w:p>
      <w:pPr>
        <w:spacing w:after="0"/>
        <w:ind w:left="0"/>
        <w:jc w:val="both"/>
      </w:pPr>
      <w:r>
        <w:rPr>
          <w:rFonts w:ascii="Times New Roman"/>
          <w:b w:val="false"/>
          <w:i w:val="false"/>
          <w:color w:val="000000"/>
          <w:sz w:val="28"/>
          <w:u w:val="single"/>
        </w:rPr>
        <w:t>Компонент 6: Совершенствование методологии и практики в конкретных областях статистики</w:t>
      </w:r>
    </w:p>
    <w:p>
      <w:pPr>
        <w:spacing w:after="0"/>
        <w:ind w:left="0"/>
        <w:jc w:val="both"/>
      </w:pPr>
      <w:r>
        <w:rPr>
          <w:rFonts w:ascii="Times New Roman"/>
          <w:b w:val="false"/>
          <w:i w:val="false"/>
          <w:color w:val="000000"/>
          <w:sz w:val="28"/>
        </w:rPr>
        <w:t>      Предоставление товаров, консультационных услуг, программ обучения для следующих целей: (a) совершенствование макроэкономической статистики; (b) совершенствование микроэкономической статистики, включая статистику промышленности, энергетики, строительства, инвестиций, внешней и внутренней торговли и статистики услуг (c) совершенствование статистики сельского хозяйства; (d) совершенствование социальной статистики; (e) совершенствование статистики труда; и (f) развитие статистики окружающей среды.</w:t>
      </w:r>
    </w:p>
    <w:p>
      <w:pPr>
        <w:spacing w:after="0"/>
        <w:ind w:left="0"/>
        <w:jc w:val="both"/>
      </w:pPr>
      <w:r>
        <w:rPr>
          <w:rFonts w:ascii="Times New Roman"/>
          <w:b w:val="false"/>
          <w:i w:val="false"/>
          <w:color w:val="000000"/>
          <w:sz w:val="28"/>
          <w:u w:val="single"/>
        </w:rPr>
        <w:t>Компонент 7: Управление Проектом</w:t>
      </w:r>
    </w:p>
    <w:p>
      <w:pPr>
        <w:spacing w:after="0"/>
        <w:ind w:left="0"/>
        <w:jc w:val="both"/>
      </w:pPr>
      <w:r>
        <w:rPr>
          <w:rFonts w:ascii="Times New Roman"/>
          <w:b w:val="false"/>
          <w:i w:val="false"/>
          <w:color w:val="000000"/>
          <w:sz w:val="28"/>
        </w:rPr>
        <w:t>      Предоставление товаров, консультационных услуг, программ обучения и операционных расходов АРКС по управлению, реализации, мониторингу и оценке Проекта.</w:t>
      </w:r>
    </w:p>
    <w:p>
      <w:pPr>
        <w:spacing w:after="0"/>
        <w:ind w:left="0"/>
        <w:jc w:val="left"/>
      </w:pPr>
      <w:r>
        <w:rPr>
          <w:rFonts w:ascii="Times New Roman"/>
          <w:b/>
          <w:i w:val="false"/>
          <w:color w:val="000000"/>
        </w:rPr>
        <w:t xml:space="preserve"> ПРИЛОЖЕНИЕ 2 Реализация Проекта</w:t>
      </w:r>
    </w:p>
    <w:p>
      <w:pPr>
        <w:spacing w:after="0"/>
        <w:ind w:left="0"/>
        <w:jc w:val="both"/>
      </w:pPr>
      <w:r>
        <w:rPr>
          <w:rFonts w:ascii="Times New Roman"/>
          <w:b/>
          <w:i w:val="false"/>
          <w:color w:val="000000"/>
          <w:sz w:val="28"/>
        </w:rPr>
        <w:t>      Раздел I. Механизмы реализации</w:t>
      </w:r>
    </w:p>
    <w:p>
      <w:pPr>
        <w:spacing w:after="0"/>
        <w:ind w:left="0"/>
        <w:jc w:val="both"/>
      </w:pPr>
      <w:r>
        <w:rPr>
          <w:rFonts w:ascii="Times New Roman"/>
          <w:b/>
          <w:i w:val="false"/>
          <w:color w:val="000000"/>
          <w:sz w:val="28"/>
        </w:rPr>
        <w:t>      A. Организационные мероприятия</w:t>
      </w:r>
    </w:p>
    <w:p>
      <w:pPr>
        <w:spacing w:after="0"/>
        <w:ind w:left="0"/>
        <w:jc w:val="both"/>
      </w:pPr>
      <w:r>
        <w:rPr>
          <w:rFonts w:ascii="Times New Roman"/>
          <w:b w:val="false"/>
          <w:i w:val="false"/>
          <w:color w:val="000000"/>
          <w:sz w:val="28"/>
        </w:rPr>
        <w:t>      Заемщик реализует Проект в соответствии со следующими организационными и другими мероприятиями:</w:t>
      </w:r>
      <w:r>
        <w:br/>
      </w:r>
      <w:r>
        <w:rPr>
          <w:rFonts w:ascii="Times New Roman"/>
          <w:b w:val="false"/>
          <w:i w:val="false"/>
          <w:color w:val="000000"/>
          <w:sz w:val="28"/>
        </w:rPr>
        <w:t>
      1. КРГ будет нести общую ответственность за надзор над Проектом, межведомственную координацию и стратегическое управление в соответствии с требованиями, критериями, организационными механизмами и операционными процедурами, указанными в Руководстве по реализации Проекта.</w:t>
      </w:r>
      <w:r>
        <w:br/>
      </w:r>
      <w:r>
        <w:rPr>
          <w:rFonts w:ascii="Times New Roman"/>
          <w:b w:val="false"/>
          <w:i w:val="false"/>
          <w:color w:val="000000"/>
          <w:sz w:val="28"/>
        </w:rPr>
        <w:t>
      2. Заемщик, через АРКС и при поддержке КРП, реализует Проект в соответствии с требованиями, критериями, организационными механизмами и операционными процедурами, указанными в Руководстве по реализации Проекта, и не должен передавать, вносить изменения, отменять или отказываться от каких-либо положений Руководства по реализации Проекта без предварительного одобрения Банком. КРП ежедневно координирует мероприятия Проекта, включая ответственность за отчетность, закупки и финансовое управление в рамках Проекта.</w:t>
      </w:r>
      <w:r>
        <w:br/>
      </w:r>
      <w:r>
        <w:rPr>
          <w:rFonts w:ascii="Times New Roman"/>
          <w:b w:val="false"/>
          <w:i w:val="false"/>
          <w:color w:val="000000"/>
          <w:sz w:val="28"/>
        </w:rPr>
        <w:t>
      3. На весь период реализации Проекта Заемщик обеспечивает АРКС, ГРП и КРГ составом, ресурсами и техническими заданиями, удовлетворительными для Банка.</w:t>
      </w:r>
      <w:r>
        <w:br/>
      </w:r>
      <w:r>
        <w:rPr>
          <w:rFonts w:ascii="Times New Roman"/>
          <w:b w:val="false"/>
          <w:i w:val="false"/>
          <w:color w:val="000000"/>
          <w:sz w:val="28"/>
        </w:rPr>
        <w:t>
      4. Заемщик, не позднее 20 декабря каждого года реализации Проекта и начиная с 20 декабря 2011 года, предоставляет в Банк Годовой план реализации Проекта на следующий год, определяющий проектные мероприятия по компонентам и подкомпонентам, а также связанные с ними расходы и финансовые ресурсы и согласовывает с Банком планируемые на следующий год мероприятия по Проекту и соответствующий бюджет.</w:t>
      </w:r>
      <w:r>
        <w:br/>
      </w:r>
      <w:r>
        <w:rPr>
          <w:rFonts w:ascii="Times New Roman"/>
          <w:b w:val="false"/>
          <w:i w:val="false"/>
          <w:color w:val="000000"/>
          <w:sz w:val="28"/>
        </w:rPr>
        <w:t>
      5. Заемщик не позднее 31 декабря 2011 года осуществляет выбор и нанимает независимого аудитора, на основании Технического задания, приемлемого для Банка.</w:t>
      </w:r>
    </w:p>
    <w:p>
      <w:pPr>
        <w:spacing w:after="0"/>
        <w:ind w:left="0"/>
        <w:jc w:val="both"/>
      </w:pPr>
      <w:r>
        <w:rPr>
          <w:rFonts w:ascii="Times New Roman"/>
          <w:b/>
          <w:i w:val="false"/>
          <w:color w:val="000000"/>
          <w:sz w:val="28"/>
        </w:rPr>
        <w:t>      B. Антикоррупционные меры</w:t>
      </w:r>
    </w:p>
    <w:p>
      <w:pPr>
        <w:spacing w:after="0"/>
        <w:ind w:left="0"/>
        <w:jc w:val="both"/>
      </w:pPr>
      <w:r>
        <w:rPr>
          <w:rFonts w:ascii="Times New Roman"/>
          <w:b w:val="false"/>
          <w:i w:val="false"/>
          <w:color w:val="000000"/>
          <w:sz w:val="28"/>
        </w:rPr>
        <w:t>      Заемщик обеспечит реализацию Проекта в соответствии с положениями Руководства Банка по противодействию коррупции.</w:t>
      </w:r>
    </w:p>
    <w:p>
      <w:pPr>
        <w:spacing w:after="0"/>
        <w:ind w:left="0"/>
        <w:jc w:val="both"/>
      </w:pPr>
      <w:r>
        <w:rPr>
          <w:rFonts w:ascii="Times New Roman"/>
          <w:b/>
          <w:i w:val="false"/>
          <w:color w:val="000000"/>
          <w:sz w:val="28"/>
        </w:rPr>
        <w:t xml:space="preserve">      Раздел II. </w:t>
      </w:r>
      <w:r>
        <w:rPr>
          <w:rFonts w:ascii="Times New Roman"/>
          <w:b w:val="false"/>
          <w:i w:val="false"/>
          <w:color w:val="000000"/>
          <w:sz w:val="28"/>
          <w:u w:val="single"/>
        </w:rPr>
        <w:t>Отчетность по мониторингу и оценка Проекта</w:t>
      </w:r>
    </w:p>
    <w:p>
      <w:pPr>
        <w:spacing w:after="0"/>
        <w:ind w:left="0"/>
        <w:jc w:val="both"/>
      </w:pPr>
      <w:r>
        <w:rPr>
          <w:rFonts w:ascii="Times New Roman"/>
          <w:b/>
          <w:i w:val="false"/>
          <w:color w:val="000000"/>
          <w:sz w:val="28"/>
        </w:rPr>
        <w:t>      A. Отчеты по Проекту</w:t>
      </w:r>
    </w:p>
    <w:p>
      <w:pPr>
        <w:spacing w:after="0"/>
        <w:ind w:left="0"/>
        <w:jc w:val="both"/>
      </w:pPr>
      <w:r>
        <w:rPr>
          <w:rFonts w:ascii="Times New Roman"/>
          <w:b w:val="false"/>
          <w:i w:val="false"/>
          <w:color w:val="000000"/>
          <w:sz w:val="28"/>
        </w:rPr>
        <w:t>      1. Заемщик осуществляет мониторинг и оценивает ход реализации Проекта, и подготавливает Отчеты по Проекту в соответствиями с положениями Раздела 5.08 Общих условий и на основе индикаторов, согласованных с Банком. Каждый Отчет по Проекту должен охватывать период в одно календарное полугодие, и представлен Банку не позднее чем через сорок пять (45) дней после окончания периода, охватываемого данным отчетом.</w:t>
      </w:r>
      <w:r>
        <w:br/>
      </w:r>
      <w:r>
        <w:rPr>
          <w:rFonts w:ascii="Times New Roman"/>
          <w:b w:val="false"/>
          <w:i w:val="false"/>
          <w:color w:val="000000"/>
          <w:sz w:val="28"/>
        </w:rPr>
        <w:t>
      2. В соответствии с Разделом 5.08 (с) Общих условий, отчет о реализации Проекта и соответствующий план, предусмотренные настоящим разделом, будут направлены в Банк не позднее 6 (шести) месяцев после Даты закрытия Проекта.</w:t>
      </w:r>
      <w:r>
        <w:br/>
      </w:r>
      <w:r>
        <w:rPr>
          <w:rFonts w:ascii="Times New Roman"/>
          <w:b w:val="false"/>
          <w:i w:val="false"/>
          <w:color w:val="000000"/>
          <w:sz w:val="28"/>
        </w:rPr>
        <w:t>
      3. Не позднее 30 месяцев с Даты вступления в силу Заемщик совместно с Банком произведет среднесрочный обзор, который, кроме всего прочего, оценит общую успешность реализации Проекта.</w:t>
      </w:r>
      <w:r>
        <w:br/>
      </w:r>
      <w:r>
        <w:rPr>
          <w:rFonts w:ascii="Times New Roman"/>
          <w:b w:val="false"/>
          <w:i w:val="false"/>
          <w:color w:val="000000"/>
          <w:sz w:val="28"/>
        </w:rPr>
        <w:t>
      4. Заемщик представит Банку, не позднее, чем за 6 (шесть) недель до Среднесрочного обзора, отдельный отчет с описанием хода реализации каждого компонента Проекта и сводный отчет об общей реализации Проекта.</w:t>
      </w:r>
    </w:p>
    <w:p>
      <w:pPr>
        <w:spacing w:after="0"/>
        <w:ind w:left="0"/>
        <w:jc w:val="both"/>
      </w:pPr>
      <w:r>
        <w:rPr>
          <w:rFonts w:ascii="Times New Roman"/>
          <w:b/>
          <w:i w:val="false"/>
          <w:color w:val="000000"/>
          <w:sz w:val="28"/>
        </w:rPr>
        <w:t>      B. Финансовое управление, финансовая отчетность и аудит</w:t>
      </w:r>
    </w:p>
    <w:p>
      <w:pPr>
        <w:spacing w:after="0"/>
        <w:ind w:left="0"/>
        <w:jc w:val="both"/>
      </w:pPr>
      <w:r>
        <w:rPr>
          <w:rFonts w:ascii="Times New Roman"/>
          <w:b w:val="false"/>
          <w:i w:val="false"/>
          <w:color w:val="000000"/>
          <w:sz w:val="28"/>
        </w:rPr>
        <w:t>      1. Заемщик обязан вести или следить за ведением системы финансового управления в соответствии с положениями Раздела 5.09 Общих условий.</w:t>
      </w:r>
      <w:r>
        <w:br/>
      </w:r>
      <w:r>
        <w:rPr>
          <w:rFonts w:ascii="Times New Roman"/>
          <w:b w:val="false"/>
          <w:i w:val="false"/>
          <w:color w:val="000000"/>
          <w:sz w:val="28"/>
        </w:rPr>
        <w:t>
      2. Без ограничения к положениям Части А настоящего Раздела, Заемщик готовит и представляет в Банк не позднее, чем через 45 (сорок пять) дней после окончания каждого календарного квартала, промежуточные неаудированные финансовые отчеты по Проекту за квартал, по форме и содержанию удовлетворительные для Банка.</w:t>
      </w:r>
      <w:r>
        <w:br/>
      </w:r>
      <w:r>
        <w:rPr>
          <w:rFonts w:ascii="Times New Roman"/>
          <w:b w:val="false"/>
          <w:i w:val="false"/>
          <w:color w:val="000000"/>
          <w:sz w:val="28"/>
        </w:rPr>
        <w:t>
      3. Заемщик проводит аудит своей Финансовой отчетности в соответствии с положениями Раздела 5.09 (б) Общих условий. Каждый аудит Финансовой отчетности должен охватывать период в 1 (один) финансовый год Заемщика. Финансовая отчетность за каждый такой период, прошедшая аудиторскую проверку, предоставлеются в Банк не позднее 6 (шести) месяцев после окончания каждого такого периода.</w:t>
      </w:r>
      <w:r>
        <w:br/>
      </w:r>
      <w:r>
        <w:rPr>
          <w:rFonts w:ascii="Times New Roman"/>
          <w:b w:val="false"/>
          <w:i w:val="false"/>
          <w:color w:val="000000"/>
          <w:sz w:val="28"/>
        </w:rPr>
        <w:t>
      4. До начала реализации Проекта Заемщик осуществляет выбор и нанимает консультанта по финансовому управлению с квалификацией и техническим заданием, приемлемым для Банка, для оказания помощи главному бухгатеру и несения отвественности за финансовое управление Проекта.</w:t>
      </w:r>
    </w:p>
    <w:p>
      <w:pPr>
        <w:spacing w:after="0"/>
        <w:ind w:left="0"/>
        <w:jc w:val="both"/>
      </w:pPr>
      <w:r>
        <w:rPr>
          <w:rFonts w:ascii="Times New Roman"/>
          <w:b/>
          <w:i w:val="false"/>
          <w:color w:val="000000"/>
          <w:sz w:val="28"/>
        </w:rPr>
        <w:t>      Раздел III.</w:t>
      </w:r>
      <w:r>
        <w:rPr>
          <w:rFonts w:ascii="Times New Roman"/>
          <w:b w:val="false"/>
          <w:i w:val="false"/>
          <w:color w:val="000000"/>
          <w:sz w:val="28"/>
          <w:u w:val="single"/>
        </w:rPr>
        <w:t xml:space="preserve"> Закупки</w:t>
      </w:r>
    </w:p>
    <w:p>
      <w:pPr>
        <w:spacing w:after="0"/>
        <w:ind w:left="0"/>
        <w:jc w:val="both"/>
      </w:pPr>
      <w:r>
        <w:rPr>
          <w:rFonts w:ascii="Times New Roman"/>
          <w:b/>
          <w:i w:val="false"/>
          <w:color w:val="000000"/>
          <w:sz w:val="28"/>
        </w:rPr>
        <w:t>      A. Общие положения</w:t>
      </w:r>
    </w:p>
    <w:p>
      <w:pPr>
        <w:spacing w:after="0"/>
        <w:ind w:left="0"/>
        <w:jc w:val="both"/>
      </w:pPr>
      <w:r>
        <w:rPr>
          <w:rFonts w:ascii="Times New Roman"/>
          <w:b w:val="false"/>
          <w:i w:val="false"/>
          <w:color w:val="000000"/>
          <w:sz w:val="28"/>
        </w:rPr>
        <w:t xml:space="preserve">      1. </w:t>
      </w:r>
      <w:r>
        <w:rPr>
          <w:rFonts w:ascii="Times New Roman"/>
          <w:b/>
          <w:i w:val="false"/>
          <w:color w:val="000000"/>
          <w:sz w:val="28"/>
        </w:rPr>
        <w:t>Товары.</w:t>
      </w:r>
      <w:r>
        <w:rPr>
          <w:rFonts w:ascii="Times New Roman"/>
          <w:b w:val="false"/>
          <w:i w:val="false"/>
          <w:color w:val="000000"/>
          <w:sz w:val="28"/>
        </w:rPr>
        <w:t xml:space="preserve"> Все товары, необходимые для Проекта и финансируемые из средств Займа, закупаются в соответствии с требованиями, содержащимися или на которые содержатся ссылки в Разделе I Руководства по закупкам, а также в соответствии с положениями настоящего Приложения.</w:t>
      </w:r>
      <w:r>
        <w:br/>
      </w:r>
      <w:r>
        <w:rPr>
          <w:rFonts w:ascii="Times New Roman"/>
          <w:b w:val="false"/>
          <w:i w:val="false"/>
          <w:color w:val="000000"/>
          <w:sz w:val="28"/>
        </w:rPr>
        <w:t xml:space="preserve">
      2. </w:t>
      </w:r>
      <w:r>
        <w:rPr>
          <w:rFonts w:ascii="Times New Roman"/>
          <w:b/>
          <w:i w:val="false"/>
          <w:color w:val="000000"/>
          <w:sz w:val="28"/>
        </w:rPr>
        <w:t>Услуги консультантов.</w:t>
      </w:r>
      <w:r>
        <w:rPr>
          <w:rFonts w:ascii="Times New Roman"/>
          <w:b w:val="false"/>
          <w:i w:val="false"/>
          <w:color w:val="000000"/>
          <w:sz w:val="28"/>
        </w:rPr>
        <w:t xml:space="preserve"> Все услуги консультантов, необходимые для Проекта и финансируемые из средств Займа, закупаются в соответствии с требованиями, содержащимися или на которые содержатся ссылки в Разделе I и IV Руководства по отбору и найму консультантов заемщиками Всемирного банка» (Руководство по консультантам), а также в соответствии с положениями настоящего Раздела.</w:t>
      </w:r>
      <w:r>
        <w:br/>
      </w:r>
      <w:r>
        <w:rPr>
          <w:rFonts w:ascii="Times New Roman"/>
          <w:b w:val="false"/>
          <w:i w:val="false"/>
          <w:color w:val="000000"/>
          <w:sz w:val="28"/>
        </w:rPr>
        <w:t xml:space="preserve">
      3. </w:t>
      </w:r>
      <w:r>
        <w:rPr>
          <w:rFonts w:ascii="Times New Roman"/>
          <w:b/>
          <w:i w:val="false"/>
          <w:color w:val="000000"/>
          <w:sz w:val="28"/>
        </w:rPr>
        <w:t>Определения.</w:t>
      </w:r>
      <w:r>
        <w:rPr>
          <w:rFonts w:ascii="Times New Roman"/>
          <w:b w:val="false"/>
          <w:i w:val="false"/>
          <w:color w:val="000000"/>
          <w:sz w:val="28"/>
        </w:rPr>
        <w:t xml:space="preserve"> Термины, начинающиеся с заглавных букв, использованные ниже в настоящем Разделе для описания определенных методов закупок или методов рассмотрения Банком определенных контрактов, соответствуют определениям, предписанных им в Руководстве по закупкам или Руководстве по консультантам, в зависимости от конкретного случая.</w:t>
      </w:r>
    </w:p>
    <w:p>
      <w:pPr>
        <w:spacing w:after="0"/>
        <w:ind w:left="0"/>
        <w:jc w:val="both"/>
      </w:pPr>
      <w:r>
        <w:rPr>
          <w:rFonts w:ascii="Times New Roman"/>
          <w:b/>
          <w:i w:val="false"/>
          <w:color w:val="000000"/>
          <w:sz w:val="28"/>
        </w:rPr>
        <w:t xml:space="preserve">      B. </w:t>
      </w:r>
      <w:r>
        <w:rPr>
          <w:rFonts w:ascii="Times New Roman"/>
          <w:b w:val="false"/>
          <w:i w:val="false"/>
          <w:color w:val="000000"/>
          <w:sz w:val="28"/>
          <w:u w:val="single"/>
        </w:rPr>
        <w:t>Специфические методы закупок товаров</w:t>
      </w:r>
    </w:p>
    <w:p>
      <w:pPr>
        <w:spacing w:after="0"/>
        <w:ind w:left="0"/>
        <w:jc w:val="both"/>
      </w:pPr>
      <w:r>
        <w:rPr>
          <w:rFonts w:ascii="Times New Roman"/>
          <w:b w:val="false"/>
          <w:i w:val="false"/>
          <w:color w:val="000000"/>
          <w:sz w:val="28"/>
        </w:rPr>
        <w:t xml:space="preserve">      1. </w:t>
      </w:r>
      <w:r>
        <w:rPr>
          <w:rFonts w:ascii="Times New Roman"/>
          <w:b/>
          <w:i w:val="false"/>
          <w:color w:val="000000"/>
          <w:sz w:val="28"/>
        </w:rPr>
        <w:t>Международные конкурсные торги.</w:t>
      </w:r>
      <w:r>
        <w:rPr>
          <w:rFonts w:ascii="Times New Roman"/>
          <w:b w:val="false"/>
          <w:i w:val="false"/>
          <w:color w:val="000000"/>
          <w:sz w:val="28"/>
        </w:rPr>
        <w:t xml:space="preserve"> Если иное не предусмотрено в пункте 2 ниже, закупка товаров осуществляется по контрактам, заключенным в соответствии с процедурами Международных конкурсных торгов.</w:t>
      </w:r>
      <w:r>
        <w:br/>
      </w:r>
      <w:r>
        <w:rPr>
          <w:rFonts w:ascii="Times New Roman"/>
          <w:b w:val="false"/>
          <w:i w:val="false"/>
          <w:color w:val="000000"/>
          <w:sz w:val="28"/>
        </w:rPr>
        <w:t xml:space="preserve">
      2. </w:t>
      </w:r>
      <w:r>
        <w:rPr>
          <w:rFonts w:ascii="Times New Roman"/>
          <w:b/>
          <w:i w:val="false"/>
          <w:color w:val="000000"/>
          <w:sz w:val="28"/>
        </w:rPr>
        <w:t>Прочие методы закупок товаров.</w:t>
      </w:r>
      <w:r>
        <w:rPr>
          <w:rFonts w:ascii="Times New Roman"/>
          <w:b w:val="false"/>
          <w:i w:val="false"/>
          <w:color w:val="000000"/>
          <w:sz w:val="28"/>
        </w:rPr>
        <w:t xml:space="preserve"> В таблице ниже представлены методы закупок, кроме Международных конкурсных торгов, которые могут быть использованы применительно к товарам. План закупок должен содержать обстоятельства, при которых используется тот или иной метод.</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53"/>
      </w:tblGrid>
      <w:tr>
        <w:trPr>
          <w:trHeight w:val="30" w:hRule="atLeast"/>
        </w:trPr>
        <w:tc>
          <w:tcPr>
            <w:tcW w:w="1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Метод закупок</w:t>
            </w:r>
          </w:p>
        </w:tc>
      </w:tr>
      <w:tr>
        <w:trPr>
          <w:trHeight w:val="30" w:hRule="atLeast"/>
        </w:trPr>
        <w:tc>
          <w:tcPr>
            <w:tcW w:w="1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 Национальные конкурсные торги, при условии соблюдения</w:t>
            </w:r>
            <w:r>
              <w:br/>
            </w:r>
            <w:r>
              <w:rPr>
                <w:rFonts w:ascii="Times New Roman"/>
                <w:b w:val="false"/>
                <w:i w:val="false"/>
                <w:color w:val="000000"/>
                <w:sz w:val="20"/>
              </w:rPr>
              <w:t>
положений Приложения к настоящему Приложению 2</w:t>
            </w:r>
          </w:p>
        </w:tc>
      </w:tr>
      <w:tr>
        <w:trPr>
          <w:trHeight w:val="30" w:hRule="atLeast"/>
        </w:trPr>
        <w:tc>
          <w:tcPr>
            <w:tcW w:w="1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 Закупки в свободной торговле (Шопинг)</w:t>
            </w:r>
          </w:p>
        </w:tc>
      </w:tr>
      <w:tr>
        <w:trPr>
          <w:trHeight w:val="30" w:hRule="atLeast"/>
        </w:trPr>
        <w:tc>
          <w:tcPr>
            <w:tcW w:w="1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Прямое заключение контрактов</w:t>
            </w:r>
          </w:p>
        </w:tc>
      </w:tr>
    </w:tbl>
    <w:p>
      <w:pPr>
        <w:spacing w:after="0"/>
        <w:ind w:left="0"/>
        <w:jc w:val="both"/>
      </w:pPr>
      <w:r>
        <w:rPr>
          <w:rFonts w:ascii="Times New Roman"/>
          <w:b/>
          <w:i w:val="false"/>
          <w:color w:val="000000"/>
          <w:sz w:val="28"/>
        </w:rPr>
        <w:t xml:space="preserve">      C. </w:t>
      </w:r>
      <w:r>
        <w:rPr>
          <w:rFonts w:ascii="Times New Roman"/>
          <w:b w:val="false"/>
          <w:i w:val="false"/>
          <w:color w:val="000000"/>
          <w:sz w:val="28"/>
          <w:u w:val="single"/>
        </w:rPr>
        <w:t>Специфические методы закупки услуг консультантов</w:t>
      </w:r>
    </w:p>
    <w:p>
      <w:pPr>
        <w:spacing w:after="0"/>
        <w:ind w:left="0"/>
        <w:jc w:val="both"/>
      </w:pPr>
      <w:r>
        <w:rPr>
          <w:rFonts w:ascii="Times New Roman"/>
          <w:b w:val="false"/>
          <w:i w:val="false"/>
          <w:color w:val="000000"/>
          <w:sz w:val="28"/>
        </w:rPr>
        <w:t xml:space="preserve">      1. </w:t>
      </w:r>
      <w:r>
        <w:rPr>
          <w:rFonts w:ascii="Times New Roman"/>
          <w:b/>
          <w:i w:val="false"/>
          <w:color w:val="000000"/>
          <w:sz w:val="28"/>
        </w:rPr>
        <w:t>Отбор на основе качества и стоимости.</w:t>
      </w:r>
      <w:r>
        <w:rPr>
          <w:rFonts w:ascii="Times New Roman"/>
          <w:b w:val="false"/>
          <w:i w:val="false"/>
          <w:color w:val="000000"/>
          <w:sz w:val="28"/>
        </w:rPr>
        <w:t xml:space="preserve"> Если в пункте 2 ниже не предусмотрено иное, закупка консультационных услуг осуществляется в рамках контрактов, присужденных в соответствии с процедурой Отбора на основе качества и стоимости.</w:t>
      </w:r>
      <w:r>
        <w:br/>
      </w:r>
      <w:r>
        <w:rPr>
          <w:rFonts w:ascii="Times New Roman"/>
          <w:b w:val="false"/>
          <w:i w:val="false"/>
          <w:color w:val="000000"/>
          <w:sz w:val="28"/>
        </w:rPr>
        <w:t xml:space="preserve">
      2. </w:t>
      </w:r>
      <w:r>
        <w:rPr>
          <w:rFonts w:ascii="Times New Roman"/>
          <w:b/>
          <w:i w:val="false"/>
          <w:color w:val="000000"/>
          <w:sz w:val="28"/>
        </w:rPr>
        <w:t>Прочие методы закупок услуг консультантов.</w:t>
      </w:r>
      <w:r>
        <w:rPr>
          <w:rFonts w:ascii="Times New Roman"/>
          <w:b w:val="false"/>
          <w:i w:val="false"/>
          <w:color w:val="000000"/>
          <w:sz w:val="28"/>
        </w:rPr>
        <w:t xml:space="preserve"> В таблице ниже представлены методы закупок, кроме Отбора на основе качества и стоимости, которые могут быть использованы при закупке услуг консультантов. План закупок должен содержать обстоятельства, при которых использовался тот или иной метод.</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53"/>
      </w:tblGrid>
      <w:tr>
        <w:trPr>
          <w:trHeight w:val="30" w:hRule="atLeast"/>
        </w:trPr>
        <w:tc>
          <w:tcPr>
            <w:tcW w:w="1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Метод закупок</w:t>
            </w:r>
          </w:p>
        </w:tc>
      </w:tr>
      <w:tr>
        <w:trPr>
          <w:trHeight w:val="30" w:hRule="atLeast"/>
        </w:trPr>
        <w:tc>
          <w:tcPr>
            <w:tcW w:w="1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 Отбор на основе качества</w:t>
            </w:r>
          </w:p>
        </w:tc>
      </w:tr>
      <w:tr>
        <w:trPr>
          <w:trHeight w:val="30" w:hRule="atLeast"/>
        </w:trPr>
        <w:tc>
          <w:tcPr>
            <w:tcW w:w="1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 Отбор при наименьшей стоимости</w:t>
            </w:r>
          </w:p>
        </w:tc>
      </w:tr>
      <w:tr>
        <w:trPr>
          <w:trHeight w:val="30" w:hRule="atLeast"/>
        </w:trPr>
        <w:tc>
          <w:tcPr>
            <w:tcW w:w="1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 Отбор при фиксированном бюджете</w:t>
            </w:r>
          </w:p>
        </w:tc>
      </w:tr>
      <w:tr>
        <w:trPr>
          <w:trHeight w:val="30" w:hRule="atLeast"/>
        </w:trPr>
        <w:tc>
          <w:tcPr>
            <w:tcW w:w="1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 Отбор на основе квалификации консультантов</w:t>
            </w:r>
          </w:p>
        </w:tc>
      </w:tr>
      <w:tr>
        <w:trPr>
          <w:trHeight w:val="30" w:hRule="atLeast"/>
        </w:trPr>
        <w:tc>
          <w:tcPr>
            <w:tcW w:w="1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 Закупки из одного источника</w:t>
            </w:r>
          </w:p>
        </w:tc>
      </w:tr>
      <w:tr>
        <w:trPr>
          <w:trHeight w:val="30" w:hRule="atLeast"/>
        </w:trPr>
        <w:tc>
          <w:tcPr>
            <w:tcW w:w="1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 Процедуры, установленные в параграфах 5.2, 5.3 и 5.4</w:t>
            </w:r>
            <w:r>
              <w:br/>
            </w:r>
            <w:r>
              <w:rPr>
                <w:rFonts w:ascii="Times New Roman"/>
                <w:b w:val="false"/>
                <w:i w:val="false"/>
                <w:color w:val="000000"/>
                <w:sz w:val="20"/>
              </w:rPr>
              <w:t>
Руководства по консультантам для отбора индивидуальных</w:t>
            </w:r>
            <w:r>
              <w:br/>
            </w:r>
            <w:r>
              <w:rPr>
                <w:rFonts w:ascii="Times New Roman"/>
                <w:b w:val="false"/>
                <w:i w:val="false"/>
                <w:color w:val="000000"/>
                <w:sz w:val="20"/>
              </w:rPr>
              <w:t>
консультантов</w:t>
            </w:r>
          </w:p>
        </w:tc>
      </w:tr>
    </w:tbl>
    <w:p>
      <w:pPr>
        <w:spacing w:after="0"/>
        <w:ind w:left="0"/>
        <w:jc w:val="both"/>
      </w:pPr>
      <w:r>
        <w:rPr>
          <w:rFonts w:ascii="Times New Roman"/>
          <w:b/>
          <w:i w:val="false"/>
          <w:color w:val="000000"/>
          <w:sz w:val="28"/>
        </w:rPr>
        <w:t xml:space="preserve">      D. </w:t>
      </w:r>
      <w:r>
        <w:rPr>
          <w:rFonts w:ascii="Times New Roman"/>
          <w:b w:val="false"/>
          <w:i w:val="false"/>
          <w:color w:val="000000"/>
          <w:sz w:val="28"/>
          <w:u w:val="single"/>
        </w:rPr>
        <w:t>Рассмотрение Банком решений по закупкам</w:t>
      </w:r>
    </w:p>
    <w:p>
      <w:pPr>
        <w:spacing w:after="0"/>
        <w:ind w:left="0"/>
        <w:jc w:val="both"/>
      </w:pPr>
      <w:r>
        <w:rPr>
          <w:rFonts w:ascii="Times New Roman"/>
          <w:b w:val="false"/>
          <w:i w:val="false"/>
          <w:color w:val="000000"/>
          <w:sz w:val="28"/>
        </w:rPr>
        <w:t>      В Плане закупок указывается перечень контрактов, которые подлежат Предварительному рассмотрению Банком. Все прочие контракты являются предметом Последующего рассмотрения Банком.</w:t>
      </w:r>
    </w:p>
    <w:p>
      <w:pPr>
        <w:spacing w:after="0"/>
        <w:ind w:left="0"/>
        <w:jc w:val="both"/>
      </w:pPr>
      <w:r>
        <w:rPr>
          <w:rFonts w:ascii="Times New Roman"/>
          <w:b/>
          <w:i w:val="false"/>
          <w:color w:val="000000"/>
          <w:sz w:val="28"/>
        </w:rPr>
        <w:t xml:space="preserve">      Раздел IV. </w:t>
      </w:r>
      <w:r>
        <w:rPr>
          <w:rFonts w:ascii="Times New Roman"/>
          <w:b w:val="false"/>
          <w:i w:val="false"/>
          <w:color w:val="000000"/>
          <w:sz w:val="28"/>
          <w:u w:val="single"/>
        </w:rPr>
        <w:t>Снятие средств Займа со счета</w:t>
      </w:r>
    </w:p>
    <w:p>
      <w:pPr>
        <w:spacing w:after="0"/>
        <w:ind w:left="0"/>
        <w:jc w:val="both"/>
      </w:pPr>
      <w:r>
        <w:rPr>
          <w:rFonts w:ascii="Times New Roman"/>
          <w:b/>
          <w:i w:val="false"/>
          <w:color w:val="000000"/>
          <w:sz w:val="28"/>
        </w:rPr>
        <w:t>      A. Общие положения</w:t>
      </w:r>
    </w:p>
    <w:p>
      <w:pPr>
        <w:spacing w:after="0"/>
        <w:ind w:left="0"/>
        <w:jc w:val="both"/>
      </w:pPr>
      <w:r>
        <w:rPr>
          <w:rFonts w:ascii="Times New Roman"/>
          <w:b w:val="false"/>
          <w:i w:val="false"/>
          <w:color w:val="000000"/>
          <w:sz w:val="28"/>
        </w:rPr>
        <w:t>      1. Заемщик может снимать средства Займа в соответствии с положениями Статьи II Общих условий, настоящего Раздела и тех дополнительных инструкций, которые укажет Банк в уведомлении Заемщику (включая «Руководство Всемирного банка по освоению средств проектов», датированное маем 2006 года, периодически пересматриваемое Банком и применимое к настоящему Соглашению согласно таким инструкциям), для финансирования Правомочных расходов, согласно таблице пункта 2 ниже.</w:t>
      </w:r>
      <w:r>
        <w:br/>
      </w:r>
      <w:r>
        <w:rPr>
          <w:rFonts w:ascii="Times New Roman"/>
          <w:b w:val="false"/>
          <w:i w:val="false"/>
          <w:color w:val="000000"/>
          <w:sz w:val="28"/>
        </w:rPr>
        <w:t>
      2. В таблице ниже определены категории Правомочных расходов, которые могут быть профинансированы из средств Займа («Категория»), выделенные суммы Займа по каждой Категории и процентная доля расходов, подлежащая финансированию как Правомочные расходы по каждой Категории.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48"/>
        <w:gridCol w:w="3882"/>
        <w:gridCol w:w="3883"/>
      </w:tblGrid>
      <w:tr>
        <w:trPr>
          <w:trHeight w:val="30" w:hRule="atLeast"/>
        </w:trPr>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Категория</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Выделенная сумма</w:t>
            </w:r>
            <w:r>
              <w:br/>
            </w:r>
            <w:r>
              <w:rPr>
                <w:rFonts w:ascii="Times New Roman"/>
                <w:b w:val="false"/>
                <w:i w:val="false"/>
                <w:color w:val="000000"/>
                <w:sz w:val="20"/>
              </w:rPr>
              <w:t>
</w:t>
            </w:r>
            <w:r>
              <w:rPr>
                <w:rFonts w:ascii="Times New Roman"/>
                <w:b/>
                <w:i w:val="false"/>
                <w:color w:val="000000"/>
                <w:sz w:val="20"/>
              </w:rPr>
              <w:t>Займа (в</w:t>
            </w:r>
            <w:r>
              <w:br/>
            </w:r>
            <w:r>
              <w:rPr>
                <w:rFonts w:ascii="Times New Roman"/>
                <w:b w:val="false"/>
                <w:i w:val="false"/>
                <w:color w:val="000000"/>
                <w:sz w:val="20"/>
              </w:rPr>
              <w:t>
</w:t>
            </w:r>
            <w:r>
              <w:rPr>
                <w:rFonts w:ascii="Times New Roman"/>
                <w:b/>
                <w:i w:val="false"/>
                <w:color w:val="000000"/>
                <w:sz w:val="20"/>
              </w:rPr>
              <w:t>долларовом</w:t>
            </w:r>
            <w:r>
              <w:br/>
            </w:r>
            <w:r>
              <w:rPr>
                <w:rFonts w:ascii="Times New Roman"/>
                <w:b w:val="false"/>
                <w:i w:val="false"/>
                <w:color w:val="000000"/>
                <w:sz w:val="20"/>
              </w:rPr>
              <w:t>
</w:t>
            </w:r>
            <w:r>
              <w:rPr>
                <w:rFonts w:ascii="Times New Roman"/>
                <w:b/>
                <w:i w:val="false"/>
                <w:color w:val="000000"/>
                <w:sz w:val="20"/>
              </w:rPr>
              <w:t>эквиваленте)</w:t>
            </w:r>
          </w:p>
        </w:tc>
        <w:tc>
          <w:tcPr>
            <w:tcW w:w="3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Доля расходов,</w:t>
            </w:r>
            <w:r>
              <w:br/>
            </w:r>
            <w:r>
              <w:rPr>
                <w:rFonts w:ascii="Times New Roman"/>
                <w:b w:val="false"/>
                <w:i w:val="false"/>
                <w:color w:val="000000"/>
                <w:sz w:val="20"/>
              </w:rPr>
              <w:t>
</w:t>
            </w:r>
            <w:r>
              <w:rPr>
                <w:rFonts w:ascii="Times New Roman"/>
                <w:b/>
                <w:i w:val="false"/>
                <w:color w:val="000000"/>
                <w:sz w:val="20"/>
              </w:rPr>
              <w:t>подлежащая</w:t>
            </w:r>
            <w:r>
              <w:br/>
            </w:r>
            <w:r>
              <w:rPr>
                <w:rFonts w:ascii="Times New Roman"/>
                <w:b w:val="false"/>
                <w:i w:val="false"/>
                <w:color w:val="000000"/>
                <w:sz w:val="20"/>
              </w:rPr>
              <w:t>
</w:t>
            </w:r>
            <w:r>
              <w:rPr>
                <w:rFonts w:ascii="Times New Roman"/>
                <w:b/>
                <w:i w:val="false"/>
                <w:color w:val="000000"/>
                <w:sz w:val="20"/>
              </w:rPr>
              <w:t>финансированию</w:t>
            </w:r>
            <w:r>
              <w:br/>
            </w:r>
            <w:r>
              <w:rPr>
                <w:rFonts w:ascii="Times New Roman"/>
                <w:b w:val="false"/>
                <w:i w:val="false"/>
                <w:color w:val="000000"/>
                <w:sz w:val="20"/>
              </w:rPr>
              <w:t>
</w:t>
            </w:r>
            <w:r>
              <w:rPr>
                <w:rFonts w:ascii="Times New Roman"/>
                <w:b/>
                <w:i w:val="false"/>
                <w:color w:val="000000"/>
                <w:sz w:val="20"/>
              </w:rPr>
              <w:t>(включая налоги)</w:t>
            </w:r>
          </w:p>
        </w:tc>
      </w:tr>
      <w:tr>
        <w:trPr>
          <w:trHeight w:val="30" w:hRule="atLeast"/>
        </w:trPr>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Товары, услуги</w:t>
            </w:r>
            <w:r>
              <w:br/>
            </w:r>
            <w:r>
              <w:rPr>
                <w:rFonts w:ascii="Times New Roman"/>
                <w:b w:val="false"/>
                <w:i w:val="false"/>
                <w:color w:val="000000"/>
                <w:sz w:val="20"/>
              </w:rPr>
              <w:t>
консультантов,</w:t>
            </w:r>
            <w:r>
              <w:br/>
            </w:r>
            <w:r>
              <w:rPr>
                <w:rFonts w:ascii="Times New Roman"/>
                <w:b w:val="false"/>
                <w:i w:val="false"/>
                <w:color w:val="000000"/>
                <w:sz w:val="20"/>
              </w:rPr>
              <w:t>
операционные расходы и</w:t>
            </w:r>
            <w:r>
              <w:br/>
            </w:r>
            <w:r>
              <w:rPr>
                <w:rFonts w:ascii="Times New Roman"/>
                <w:b w:val="false"/>
                <w:i w:val="false"/>
                <w:color w:val="000000"/>
                <w:sz w:val="20"/>
              </w:rPr>
              <w:t>
обучение по Проекту</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20,000,000</w:t>
            </w:r>
          </w:p>
        </w:tc>
        <w:tc>
          <w:tcPr>
            <w:tcW w:w="3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Общая сумма</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$20,000,000</w:t>
            </w:r>
          </w:p>
        </w:tc>
        <w:tc>
          <w:tcPr>
            <w:tcW w:w="3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Пояснения к таблице:</w:t>
      </w:r>
    </w:p>
    <w:p>
      <w:pPr>
        <w:spacing w:after="0"/>
        <w:ind w:left="0"/>
        <w:jc w:val="both"/>
      </w:pPr>
      <w:r>
        <w:rPr>
          <w:rFonts w:ascii="Times New Roman"/>
          <w:b w:val="false"/>
          <w:i w:val="false"/>
          <w:color w:val="000000"/>
          <w:sz w:val="28"/>
        </w:rPr>
        <w:t>      (a) Термин «операционные расходы» означает обоснованные затраты АРКС по реализации Проекта на связь, переводы, канцелярские товары, объявления, ксерокопирование, почту и поездки. Данный вид расходов будет финансироваться из средств Займа в соответствии с годовым бюджетом, одобренным Банком и с административными процедурами АРКС, приемлемыми для Банка. Операционные расходы не включают в себя заработную плату государственных служащих Заемщика.</w:t>
      </w:r>
      <w:r>
        <w:br/>
      </w:r>
      <w:r>
        <w:rPr>
          <w:rFonts w:ascii="Times New Roman"/>
          <w:b w:val="false"/>
          <w:i w:val="false"/>
          <w:color w:val="000000"/>
          <w:sz w:val="28"/>
        </w:rPr>
        <w:t>
      (b) «Обучение» означает имеющие отношение к Проекту тренинги и семинары, проводимые в соответствии с годовым планом обучения, подготовленным АРКС и одобренным Банком, включая ознакомительные поездки, курсы обучения, семинары, тренинги и другие обучающие мероприятия, не включенные в контракты поставщиков товаров и услуг, включая затраты на учебные материалы, аренду помещений и оборудования, поездки внутри страны, суточные обучаемых сотрудников и оплату преподавателей, а также услуги устного и письменного перевода.</w:t>
      </w:r>
    </w:p>
    <w:p>
      <w:pPr>
        <w:spacing w:after="0"/>
        <w:ind w:left="0"/>
        <w:jc w:val="both"/>
      </w:pPr>
      <w:r>
        <w:rPr>
          <w:rFonts w:ascii="Times New Roman"/>
          <w:b/>
          <w:i w:val="false"/>
          <w:color w:val="000000"/>
          <w:sz w:val="28"/>
        </w:rPr>
        <w:t>      B. Условия снятия; период снятия</w:t>
      </w:r>
    </w:p>
    <w:p>
      <w:pPr>
        <w:spacing w:after="0"/>
        <w:ind w:left="0"/>
        <w:jc w:val="both"/>
      </w:pPr>
      <w:r>
        <w:rPr>
          <w:rFonts w:ascii="Times New Roman"/>
          <w:b w:val="false"/>
          <w:i w:val="false"/>
          <w:color w:val="000000"/>
          <w:sz w:val="28"/>
        </w:rPr>
        <w:t>      1. Независимо от положений Части А настоящего Раздела, средства не должны сниматься:</w:t>
      </w:r>
      <w:r>
        <w:br/>
      </w:r>
      <w:r>
        <w:rPr>
          <w:rFonts w:ascii="Times New Roman"/>
          <w:b w:val="false"/>
          <w:i w:val="false"/>
          <w:color w:val="000000"/>
          <w:sz w:val="28"/>
        </w:rPr>
        <w:t>
      (a) со счета Займа до тех пор, пока Банку не будет выплачена в полном объеме комиссия за резервирование средств Займа; либо</w:t>
      </w:r>
      <w:r>
        <w:br/>
      </w:r>
      <w:r>
        <w:rPr>
          <w:rFonts w:ascii="Times New Roman"/>
          <w:b w:val="false"/>
          <w:i w:val="false"/>
          <w:color w:val="000000"/>
          <w:sz w:val="28"/>
        </w:rPr>
        <w:t>
      (b) по платежам, совершенным до даты настоящего Соглашения.</w:t>
      </w:r>
      <w:r>
        <w:br/>
      </w:r>
      <w:r>
        <w:rPr>
          <w:rFonts w:ascii="Times New Roman"/>
          <w:b w:val="false"/>
          <w:i w:val="false"/>
          <w:color w:val="000000"/>
          <w:sz w:val="28"/>
        </w:rPr>
        <w:t>
      2. Дата закрытия – 30 апреля 2017 года.</w:t>
      </w:r>
    </w:p>
    <w:p>
      <w:pPr>
        <w:spacing w:after="0"/>
        <w:ind w:left="0"/>
        <w:jc w:val="left"/>
      </w:pPr>
      <w:r>
        <w:rPr>
          <w:rFonts w:ascii="Times New Roman"/>
          <w:b/>
          <w:i w:val="false"/>
          <w:color w:val="000000"/>
        </w:rPr>
        <w:t xml:space="preserve"> Дополнение к Приложению 2</w:t>
      </w:r>
    </w:p>
    <w:p>
      <w:pPr>
        <w:spacing w:after="0"/>
        <w:ind w:left="0"/>
        <w:jc w:val="both"/>
      </w:pPr>
      <w:r>
        <w:rPr>
          <w:rFonts w:ascii="Times New Roman"/>
          <w:b w:val="false"/>
          <w:i w:val="false"/>
          <w:color w:val="000000"/>
          <w:sz w:val="28"/>
        </w:rPr>
        <w:t>      Национальные процедуры конкурсных торгов Заемщика могут быть использованы для закупки товаров в рамках Проекта при условии выполнения следующих условий:</w:t>
      </w:r>
      <w:r>
        <w:br/>
      </w:r>
      <w:r>
        <w:rPr>
          <w:rFonts w:ascii="Times New Roman"/>
          <w:b w:val="false"/>
          <w:i w:val="false"/>
          <w:color w:val="000000"/>
          <w:sz w:val="28"/>
        </w:rPr>
        <w:t>
      1. Допуск участников конкурса определяется в соответствии с Разделом I Руководства по закупкам по займам МБРР и кредитам МАР. В связи с чем, ни одному участнику не может быть отказано в участии в конкурсе на контракты, финансируемые Ассоциацией, на основании условий, которые не указаны в Разделе I Руководства по закупкам по займам МБРР и кредитам МАР.</w:t>
      </w:r>
      <w:r>
        <w:br/>
      </w:r>
      <w:r>
        <w:rPr>
          <w:rFonts w:ascii="Times New Roman"/>
          <w:b w:val="false"/>
          <w:i w:val="false"/>
          <w:color w:val="000000"/>
          <w:sz w:val="28"/>
        </w:rPr>
        <w:t>
      2. Закупающие организации должны использовать стандартную конкурсную документацию, приемлемую для Банка.</w:t>
      </w:r>
      <w:r>
        <w:br/>
      </w:r>
      <w:r>
        <w:rPr>
          <w:rFonts w:ascii="Times New Roman"/>
          <w:b w:val="false"/>
          <w:i w:val="false"/>
          <w:color w:val="000000"/>
          <w:sz w:val="28"/>
        </w:rPr>
        <w:t>
      3. Продление действия Конкурсной заявки, при исключительных обстоятельствах, запрашивается в письменной форме от всех участников конкурса до даты завершения их срока действия, и на минимальный срок, необходимый для завершения оценки предложений и присуждения контракта.</w:t>
      </w:r>
      <w:r>
        <w:br/>
      </w:r>
      <w:r>
        <w:rPr>
          <w:rFonts w:ascii="Times New Roman"/>
          <w:b w:val="false"/>
          <w:i w:val="false"/>
          <w:color w:val="000000"/>
          <w:sz w:val="28"/>
        </w:rPr>
        <w:t>
      4. Преференции по государственному признаку не применяются.</w:t>
      </w:r>
      <w:r>
        <w:br/>
      </w:r>
      <w:r>
        <w:rPr>
          <w:rFonts w:ascii="Times New Roman"/>
          <w:b w:val="false"/>
          <w:i w:val="false"/>
          <w:color w:val="000000"/>
          <w:sz w:val="28"/>
        </w:rPr>
        <w:t>
      5. Организации с доминирующим участием государства не участвуют в тендерах, проводимых Правительством, если только не будет доказано, что они финансово и юридически независимы и действуют в рамках коммерческого права.</w:t>
      </w:r>
      <w:r>
        <w:br/>
      </w:r>
      <w:r>
        <w:rPr>
          <w:rFonts w:ascii="Times New Roman"/>
          <w:b w:val="false"/>
          <w:i w:val="false"/>
          <w:color w:val="000000"/>
          <w:sz w:val="28"/>
        </w:rPr>
        <w:t>
      6. Последующие квалификационные критерии применяются только в отношении эффективности прошлых контрактов, финансового и технического потенциала участников конкурса.</w:t>
      </w:r>
      <w:r>
        <w:br/>
      </w:r>
      <w:r>
        <w:rPr>
          <w:rFonts w:ascii="Times New Roman"/>
          <w:b w:val="false"/>
          <w:i w:val="false"/>
          <w:color w:val="000000"/>
          <w:sz w:val="28"/>
        </w:rPr>
        <w:t>
      7. Партнеры совместных предприятий несут ответственность совместно и индивидуально.</w:t>
      </w:r>
      <w:r>
        <w:br/>
      </w:r>
      <w:r>
        <w:rPr>
          <w:rFonts w:ascii="Times New Roman"/>
          <w:b w:val="false"/>
          <w:i w:val="false"/>
          <w:color w:val="000000"/>
          <w:sz w:val="28"/>
        </w:rPr>
        <w:t>
      8. Конкурсные заявки вскрываются публично сразу после даты завершения приема заявок. Ни одна заявка не может быть отклонена на стадии вскрытия кроме тех, которые были получены после завершения срока подачи заявок.</w:t>
      </w:r>
      <w:r>
        <w:br/>
      </w:r>
      <w:r>
        <w:rPr>
          <w:rFonts w:ascii="Times New Roman"/>
          <w:b w:val="false"/>
          <w:i w:val="false"/>
          <w:color w:val="000000"/>
          <w:sz w:val="28"/>
        </w:rPr>
        <w:t>
      9. Тендерная заявка не может быть отклонена только на основании превышения расчетной стоимости.</w:t>
      </w:r>
      <w:r>
        <w:br/>
      </w:r>
      <w:r>
        <w:rPr>
          <w:rFonts w:ascii="Times New Roman"/>
          <w:b w:val="false"/>
          <w:i w:val="false"/>
          <w:color w:val="000000"/>
          <w:sz w:val="28"/>
        </w:rPr>
        <w:t>
      10. При оценке заявок квалификационные критерии используются по принципу «прошел/не прошел».</w:t>
      </w:r>
      <w:r>
        <w:br/>
      </w:r>
      <w:r>
        <w:rPr>
          <w:rFonts w:ascii="Times New Roman"/>
          <w:b w:val="false"/>
          <w:i w:val="false"/>
          <w:color w:val="000000"/>
          <w:sz w:val="28"/>
        </w:rPr>
        <w:t>
      11. Контракты присуждаются квалифицированным участникам, предложившим наиболее низкую оцененную стоимость, и переговоры по ценам не проводятся.</w:t>
      </w:r>
    </w:p>
    <w:p>
      <w:pPr>
        <w:spacing w:after="0"/>
        <w:ind w:left="0"/>
        <w:jc w:val="left"/>
      </w:pPr>
      <w:r>
        <w:rPr>
          <w:rFonts w:ascii="Times New Roman"/>
          <w:b/>
          <w:i w:val="false"/>
          <w:color w:val="000000"/>
        </w:rPr>
        <w:t xml:space="preserve"> ПРИЛОЖЕНИЕ 3 График погашения</w:t>
      </w:r>
    </w:p>
    <w:p>
      <w:pPr>
        <w:spacing w:after="0"/>
        <w:ind w:left="0"/>
        <w:jc w:val="both"/>
      </w:pPr>
      <w:r>
        <w:rPr>
          <w:rFonts w:ascii="Times New Roman"/>
          <w:b w:val="false"/>
          <w:i w:val="false"/>
          <w:color w:val="000000"/>
          <w:sz w:val="28"/>
        </w:rPr>
        <w:t>      1. В следующей таблице указаны Даты погашения основного долга и доля в процентах от общей основной суммы Займа, подлежащая погашению на каждую Дату погашения основного долга («Доля погашения»). Если средства Займа будут полностью сняты на первую Дату погашения основного долга, то основная сумма Займа, которая будет подлежать погашению Заемщиком на каждую такую Дату погашения основного долга, будет определена Банком путем произведения: (a) Суммы Займа, снятой на первую Дату погашения основного долга, и (b) Доли погашения платежа на каждую Дату погашения основного долга. Данная сумма, подлежащая выплате, будет корректироваться по мере необходимости, с целью вычета сумм, предусмотренных в пункте 4 настоящего Приложения, и к которым применяется Конверсия валюты.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40"/>
        <w:gridCol w:w="5632"/>
      </w:tblGrid>
      <w:tr>
        <w:trPr>
          <w:trHeight w:val="30" w:hRule="atLeast"/>
        </w:trPr>
        <w:tc>
          <w:tcPr>
            <w:tcW w:w="7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Дата платежа по основному долгу</w:t>
            </w:r>
          </w:p>
        </w:tc>
        <w:tc>
          <w:tcPr>
            <w:tcW w:w="5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Доля погашения</w:t>
            </w:r>
            <w:r>
              <w:br/>
            </w:r>
            <w:r>
              <w:rPr>
                <w:rFonts w:ascii="Times New Roman"/>
                <w:b w:val="false"/>
                <w:i w:val="false"/>
                <w:color w:val="000000"/>
                <w:sz w:val="20"/>
              </w:rPr>
              <w:t>
</w:t>
            </w:r>
            <w:r>
              <w:rPr>
                <w:rFonts w:ascii="Times New Roman"/>
                <w:b/>
                <w:i w:val="false"/>
                <w:color w:val="000000"/>
                <w:sz w:val="20"/>
              </w:rPr>
              <w:t>(в процентном выражении)</w:t>
            </w:r>
          </w:p>
        </w:tc>
      </w:tr>
      <w:tr>
        <w:trPr>
          <w:trHeight w:val="30" w:hRule="atLeast"/>
        </w:trPr>
        <w:tc>
          <w:tcPr>
            <w:tcW w:w="7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апреля и 15 октября каждого</w:t>
            </w:r>
            <w:r>
              <w:br/>
            </w:r>
            <w:r>
              <w:rPr>
                <w:rFonts w:ascii="Times New Roman"/>
                <w:b w:val="false"/>
                <w:i w:val="false"/>
                <w:color w:val="000000"/>
                <w:sz w:val="20"/>
              </w:rPr>
              <w:t>
года, начиная с 15 апреля 2016</w:t>
            </w:r>
            <w:r>
              <w:br/>
            </w:r>
            <w:r>
              <w:rPr>
                <w:rFonts w:ascii="Times New Roman"/>
                <w:b w:val="false"/>
                <w:i w:val="false"/>
                <w:color w:val="000000"/>
                <w:sz w:val="20"/>
              </w:rPr>
              <w:t>
года по 15 октября 2025 года.</w:t>
            </w:r>
          </w:p>
        </w:tc>
        <w:tc>
          <w:tcPr>
            <w:tcW w:w="5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bl>
    <w:p>
      <w:pPr>
        <w:spacing w:after="0"/>
        <w:ind w:left="0"/>
        <w:jc w:val="both"/>
      </w:pPr>
      <w:r>
        <w:rPr>
          <w:rFonts w:ascii="Times New Roman"/>
          <w:b w:val="false"/>
          <w:i w:val="false"/>
          <w:color w:val="000000"/>
          <w:sz w:val="28"/>
        </w:rPr>
        <w:t>      2. Если средства Займа не будут полностью сняты на первую Дату погашения основного долга, то основная сумма Займа, которая будет подлежать погашению Заемщиком на каждую такую Дату погашения основного долга, будет определена следующим образом:</w:t>
      </w:r>
      <w:r>
        <w:br/>
      </w:r>
      <w:r>
        <w:rPr>
          <w:rFonts w:ascii="Times New Roman"/>
          <w:b w:val="false"/>
          <w:i w:val="false"/>
          <w:color w:val="000000"/>
          <w:sz w:val="28"/>
        </w:rPr>
        <w:t>
      (a) В той мере, в которой любые средства Займа были сняты на первую Дату погашения основного долга, Заемщик должен погасить Сумму Займа, снятую на такую дату, в соответствии с пунктом 1 данного Приложения.</w:t>
      </w:r>
      <w:r>
        <w:br/>
      </w:r>
      <w:r>
        <w:rPr>
          <w:rFonts w:ascii="Times New Roman"/>
          <w:b w:val="false"/>
          <w:i w:val="false"/>
          <w:color w:val="000000"/>
          <w:sz w:val="28"/>
        </w:rPr>
        <w:t>
      (b) Любые суммы, снятые после первой Даты погашения основного долга, должны погашаться на каждую Дату погашения основного долга после даты такого снятия в суммах, определенных Банком путем умножения суммы каждого такого снятия на дробь, числителем которой является первоначальная сумма Доли погашения, указанная в таблице пункта 1 данного Приложения для этой Даты погашения основного долга («Первоначальная сумма Доли погашения платежа»), а знаменателем которой является сумма всех оставшихся Первоначальных сумм Доли погашения платежей на Даты погашения основного долга на такую дату или после нее. Данная сумма, подлежащая выплате, будет корректироваться по мере необходимости, с целью вычета сумм, предусмотренных в пункте 4 настоящего Приложения, и к которым применяется Конверсия валюты.</w:t>
      </w:r>
      <w:r>
        <w:br/>
      </w:r>
      <w:r>
        <w:rPr>
          <w:rFonts w:ascii="Times New Roman"/>
          <w:b w:val="false"/>
          <w:i w:val="false"/>
          <w:color w:val="000000"/>
          <w:sz w:val="28"/>
        </w:rPr>
        <w:t>
      3. (a) Суммы Займа, снятые в течение двух календарных месяцев до любой Даты погашения основного долга исключительно для целей расчета сумм основного долга, подлежащих выплате на любую Дату погашения основного долга, будут считаться снятыми и непогашенными на вторую Дату погашения основного долга после даты снятия и будут подлежать погашению на каждую Дату погашения основного долга, начиная со второй Даты погашения основного долга после даты снятия.</w:t>
      </w:r>
      <w:r>
        <w:br/>
      </w:r>
      <w:r>
        <w:rPr>
          <w:rFonts w:ascii="Times New Roman"/>
          <w:b w:val="false"/>
          <w:i w:val="false"/>
          <w:color w:val="000000"/>
          <w:sz w:val="28"/>
        </w:rPr>
        <w:t>
      (b) Несмотря на положения подпункта (a) настоящего пункта, если в любое время Банк примет систему выставления счетов по срокам платежей, при которой счета выписываются на соответствующую Дату погашения основного долга или после нее, положения этого подпункта не будут применяться к таким снятиям, совершенным после принятия такой системы выставления счетов.</w:t>
      </w:r>
      <w:r>
        <w:br/>
      </w:r>
      <w:r>
        <w:rPr>
          <w:rFonts w:ascii="Times New Roman"/>
          <w:b w:val="false"/>
          <w:i w:val="false"/>
          <w:color w:val="000000"/>
          <w:sz w:val="28"/>
        </w:rPr>
        <w:t>
      4. Несмотря на положения пунктов 1 и 2 настоящего Приложения, при Конверсии валюты всей или любой части Займа на Одобренную валюту, сумма, конвертированная таким образом на Одобренную валюту, которая подлежит погашению на любую Дату погашения основного долга, наступающую в течение Периода конверсии, должна быть определена Банком путем умножения такой суммы в валюте ее деноминации непосредственно перед конвертацией на: (i) обменный курс, который отражает суммы основного долга в Одобренной валюте, подлежащие выплате Банком в рамках Валютных хеджевых сделок, относящихся к Конверсии; или (ii) валютный компонент Экранной ставки, если Банк примет такое решение в соответствии с Руководством по конверсии.</w:t>
      </w:r>
      <w:r>
        <w:br/>
      </w:r>
      <w:r>
        <w:rPr>
          <w:rFonts w:ascii="Times New Roman"/>
          <w:b w:val="false"/>
          <w:i w:val="false"/>
          <w:color w:val="000000"/>
          <w:sz w:val="28"/>
        </w:rPr>
        <w:t>
      5. В случае, если Заем номинирован в более чем одной Валюте Займа, положения данного графика применяются отдельно к суммам в каждой из валют Займа, а также для расчета отдельных графиков погашения для каждой из сумм.</w:t>
      </w:r>
    </w:p>
    <w:p>
      <w:pPr>
        <w:spacing w:after="0"/>
        <w:ind w:left="0"/>
        <w:jc w:val="left"/>
      </w:pPr>
      <w:r>
        <w:rPr>
          <w:rFonts w:ascii="Times New Roman"/>
          <w:b/>
          <w:i w:val="false"/>
          <w:color w:val="000000"/>
        </w:rPr>
        <w:t xml:space="preserve"> ДОПОЛНЕНИЕ Раздел I. Определения</w:t>
      </w:r>
    </w:p>
    <w:p>
      <w:pPr>
        <w:spacing w:after="0"/>
        <w:ind w:left="0"/>
        <w:jc w:val="both"/>
      </w:pPr>
      <w:r>
        <w:rPr>
          <w:rFonts w:ascii="Times New Roman"/>
          <w:b w:val="false"/>
          <w:i w:val="false"/>
          <w:color w:val="000000"/>
          <w:sz w:val="28"/>
        </w:rPr>
        <w:t>      1. «Руководство по противодействию коррупции» означает «Руководство по профилактике и борьбе с мошенничеством и коррупцией в проектах, финансируемых из средств займов МБРР и кредитов и грантов МАР» от 15 октября 2006 года и их обновления в мае 2010 и январе 2011 гг.</w:t>
      </w:r>
      <w:r>
        <w:br/>
      </w:r>
      <w:r>
        <w:rPr>
          <w:rFonts w:ascii="Times New Roman"/>
          <w:b w:val="false"/>
          <w:i w:val="false"/>
          <w:color w:val="000000"/>
          <w:sz w:val="28"/>
        </w:rPr>
        <w:t>
      2. «АРКС» означает Агентство Республики Казахстан по статистике, утвержденное </w:t>
      </w:r>
      <w:r>
        <w:rPr>
          <w:rFonts w:ascii="Times New Roman"/>
          <w:b w:val="false"/>
          <w:i w:val="false"/>
          <w:color w:val="000000"/>
          <w:sz w:val="28"/>
        </w:rPr>
        <w:t>постановлением Правительства</w:t>
      </w:r>
      <w:r>
        <w:rPr>
          <w:rFonts w:ascii="Times New Roman"/>
          <w:b w:val="false"/>
          <w:i w:val="false"/>
          <w:color w:val="000000"/>
          <w:sz w:val="28"/>
        </w:rPr>
        <w:t xml:space="preserve"> РК № 1460 от 31 декабря 2004 года, либо любой его преемник или преемники, и которое, вместе с ГРП ответственно за реализацию Проекта.</w:t>
      </w:r>
      <w:r>
        <w:br/>
      </w:r>
      <w:r>
        <w:rPr>
          <w:rFonts w:ascii="Times New Roman"/>
          <w:b w:val="false"/>
          <w:i w:val="false"/>
          <w:color w:val="000000"/>
          <w:sz w:val="28"/>
        </w:rPr>
        <w:t>
      3. «Руководство по консультантам» означает «Руководство по отбору и найму консультантов Заемщиками Всемирного банка», опубликованное Банком в мае 2004 года и пересмотренное в октябре 2006 года и в мае 2010 года.</w:t>
      </w:r>
      <w:r>
        <w:br/>
      </w:r>
      <w:r>
        <w:rPr>
          <w:rFonts w:ascii="Times New Roman"/>
          <w:b w:val="false"/>
          <w:i w:val="false"/>
          <w:color w:val="000000"/>
          <w:sz w:val="28"/>
        </w:rPr>
        <w:t>
      4. «Координационная рабочая группа» или «КРГ» - межведомственная координационная рабочая группа, образованная в соотвествии с подпунктом (b) пункта 4.01 статьи IV настоящего Соглашения в целях надзора и мониторинга реализации Проекта.</w:t>
      </w:r>
      <w:r>
        <w:br/>
      </w:r>
      <w:r>
        <w:rPr>
          <w:rFonts w:ascii="Times New Roman"/>
          <w:b w:val="false"/>
          <w:i w:val="false"/>
          <w:color w:val="000000"/>
          <w:sz w:val="28"/>
        </w:rPr>
        <w:t>
      5. «Общие условия» - «Общие условия для займов Международного Банка Реконструкции и Развития» от 31 июля 2010 года.</w:t>
      </w:r>
      <w:r>
        <w:br/>
      </w:r>
      <w:r>
        <w:rPr>
          <w:rFonts w:ascii="Times New Roman"/>
          <w:b w:val="false"/>
          <w:i w:val="false"/>
          <w:color w:val="000000"/>
          <w:sz w:val="28"/>
        </w:rPr>
        <w:t>
      6. «Группа по реализации проекта» или «ГРП» означает команду по реализации Проекта, созданную Агентством РК по статистике в соответствии с подпунктом (а) пункта 4.01 статьи IV настоящего Соглашения для реализации Проекта и ежедневного управления Проектом, и которая, кроме прочего, состоит из (i) координатора Проекта; (ii) специалиста по финансовому управлению; и (iii) закупщика.</w:t>
      </w:r>
      <w:r>
        <w:br/>
      </w:r>
      <w:r>
        <w:rPr>
          <w:rFonts w:ascii="Times New Roman"/>
          <w:b w:val="false"/>
          <w:i w:val="false"/>
          <w:color w:val="000000"/>
          <w:sz w:val="28"/>
        </w:rPr>
        <w:t>
      7. «Руководство по закупкам» означает «Руководство по закупкам в рамках займов МБРР и кредитов МАР», опубликованное Банком в мае 2004 года и пересмотренное в октябре 2006 года и в мае 2010 года.</w:t>
      </w:r>
      <w:r>
        <w:br/>
      </w:r>
      <w:r>
        <w:rPr>
          <w:rFonts w:ascii="Times New Roman"/>
          <w:b w:val="false"/>
          <w:i w:val="false"/>
          <w:color w:val="000000"/>
          <w:sz w:val="28"/>
        </w:rPr>
        <w:t>
      8. «План закупок» означает план закупок Заемщика для Проекта от 16 февраля 2011 года, на который имеется ссылка в пункте 1.16 Руководства по закупкам и пункте 1.24 Руководства по консультантам, который может периодически корректироваться в соответствии с положениями указанных пунктов.</w:t>
      </w:r>
      <w:r>
        <w:br/>
      </w:r>
      <w:r>
        <w:rPr>
          <w:rFonts w:ascii="Times New Roman"/>
          <w:b w:val="false"/>
          <w:i w:val="false"/>
          <w:color w:val="000000"/>
          <w:sz w:val="28"/>
        </w:rPr>
        <w:t>
      9. «Руководство по реализации Проекта» означает руководство, принятое Заемщиком в соответствии с подпунктом (с) пункта 4.01 статьи IV настоящего Соглашения, определяющее операционные и административные обязанности, процедуры и правила реализации Проекта, включая руководство по процедурам финансового управления, которое излагает процедуры учета, отчетности и аудита, расходов, движения средств и управления специальным счетом по Проекту, в которое периодически могут вноситься изменения по согласованию с Банком.</w:t>
      </w:r>
    </w:p>
    <w:p>
      <w:pPr>
        <w:spacing w:after="0"/>
        <w:ind w:left="0"/>
        <w:jc w:val="both"/>
      </w:pPr>
      <w:r>
        <w:rPr>
          <w:rFonts w:ascii="Times New Roman"/>
          <w:b w:val="false"/>
          <w:i w:val="false"/>
          <w:color w:val="000000"/>
          <w:sz w:val="28"/>
        </w:rPr>
        <w:t>      Настоящим удостоверяю, что данный перевод соответствует тексту Соглашения о займе (КАЗСТАТ: Проект по укреплению национальной статистической системы) между Республикой Казахстан и Международным Банком Реконструкции и Развития на английском языке, подписанного в городе Астана 26 августа 2011 года.</w:t>
      </w:r>
    </w:p>
    <w:p>
      <w:pPr>
        <w:spacing w:after="0"/>
        <w:ind w:left="0"/>
        <w:jc w:val="both"/>
      </w:pPr>
      <w:r>
        <w:rPr>
          <w:rFonts w:ascii="Times New Roman"/>
          <w:b w:val="false"/>
          <w:i/>
          <w:color w:val="000000"/>
          <w:sz w:val="28"/>
        </w:rPr>
        <w:t>      Начальник Управления</w:t>
      </w:r>
      <w:r>
        <w:br/>
      </w:r>
      <w:r>
        <w:rPr>
          <w:rFonts w:ascii="Times New Roman"/>
          <w:b w:val="false"/>
          <w:i w:val="false"/>
          <w:color w:val="000000"/>
          <w:sz w:val="28"/>
        </w:rPr>
        <w:t>
</w:t>
      </w:r>
      <w:r>
        <w:rPr>
          <w:rFonts w:ascii="Times New Roman"/>
          <w:b w:val="false"/>
          <w:i/>
          <w:color w:val="000000"/>
          <w:sz w:val="28"/>
        </w:rPr>
        <w:t>      Департамента координации</w:t>
      </w:r>
      <w:r>
        <w:br/>
      </w:r>
      <w:r>
        <w:rPr>
          <w:rFonts w:ascii="Times New Roman"/>
          <w:b w:val="false"/>
          <w:i w:val="false"/>
          <w:color w:val="000000"/>
          <w:sz w:val="28"/>
        </w:rPr>
        <w:t>
</w:t>
      </w:r>
      <w:r>
        <w:rPr>
          <w:rFonts w:ascii="Times New Roman"/>
          <w:b w:val="false"/>
          <w:i/>
          <w:color w:val="000000"/>
          <w:sz w:val="28"/>
        </w:rPr>
        <w:t>      кадровой работы и контроля</w:t>
      </w:r>
      <w:r>
        <w:br/>
      </w:r>
      <w:r>
        <w:rPr>
          <w:rFonts w:ascii="Times New Roman"/>
          <w:b w:val="false"/>
          <w:i w:val="false"/>
          <w:color w:val="000000"/>
          <w:sz w:val="28"/>
        </w:rPr>
        <w:t>
</w:t>
      </w:r>
      <w:r>
        <w:rPr>
          <w:rFonts w:ascii="Times New Roman"/>
          <w:b w:val="false"/>
          <w:i/>
          <w:color w:val="000000"/>
          <w:sz w:val="28"/>
        </w:rPr>
        <w:t>      Министерства финансов</w:t>
      </w:r>
      <w:r>
        <w:br/>
      </w:r>
      <w:r>
        <w:rPr>
          <w:rFonts w:ascii="Times New Roman"/>
          <w:b w:val="false"/>
          <w:i w:val="false"/>
          <w:color w:val="000000"/>
          <w:sz w:val="28"/>
        </w:rPr>
        <w:t>
</w:t>
      </w:r>
      <w:r>
        <w:rPr>
          <w:rFonts w:ascii="Times New Roman"/>
          <w:b w:val="false"/>
          <w:i/>
          <w:color w:val="000000"/>
          <w:sz w:val="28"/>
        </w:rPr>
        <w:t>      Республики Казахстан                       Б. Ахметжанова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