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39570" w14:textId="67395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открытия и функционирования штемпельно-граверных предприятий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ноября 2011 года № 1333. Утратило силу постановлением Правительства Республики Казахстан от 21 ноября 2012 года № 1474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21.11.2012 </w:t>
      </w:r>
      <w:r>
        <w:rPr>
          <w:rFonts w:ascii="Times New Roman"/>
          <w:b w:val="false"/>
          <w:i w:val="false"/>
          <w:color w:val="ff0000"/>
          <w:sz w:val="28"/>
        </w:rPr>
        <w:t>№ 1474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4-5 Закона Республики Казахстан от 21 декабря 1995 года «Об органах внутренних дел Республики Казахстан»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открытия и функционирования штемпельно-граверных предприятий.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ноября 2011 года № 1333</w:t>
      </w:r>
    </w:p>
    <w:bookmarkEnd w:id="2"/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открытия и функционирования штемпельно-граверных предприятий</w:t>
      </w:r>
    </w:p>
    <w:bookmarkEnd w:id="3"/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открытия и функционирования штемпельно-граверных предприятий (далее – Правила) устанавливают порядок открытия и функционирования штемпельно-граверных предприятий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декабря 1995 года «Об органах внутренних дел».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открытия и функционирования штемпельно-граверных предприятий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Штемпельно-граверные предприятия по изготовлению печатей и штампов открываются юридическими и физическими лицами по разрешениям, выданным органом внутренних дел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Для получения разрешения на открытие штемпельно-граверного предприятия в органы внутренних дел представляются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ходатайство за подписью руководителя предприятия, учреждения, организации, в ведении которого находится штемпельно-граверное предприятие, о выдаче разрешения с кратким описанием условий 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анкета на лицо, ответственное за штемпельно-граверное производство и имеющее допуск к работе;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план размещения цехов и служб штемпельно-граверного предприятия с краткой пояснительной запиской, в том числе о технической укрепленности помещений, наличии охранной сигнализации, осуществлении пропускного режима, условиях учета и хранения полиграфического оборудования, шрифта и матриц для набора машин.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Разрешение выдается органом внутренних дел в течение: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пятнадцати календарных дней – при обращении юридического лица, для рассмотрения которого не требуется получение информации от иных субъектов, должностных лиц, либо проверка с выездом на место;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тридцати календарных дней – при обращении юридического лица, для рассмотрения которого требуется получение информации от иных субъектов, должностных лиц, либо проверка с выездом на место.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перемене адреса штемпельно-граверного предприятия, смене ответственного лица, изменении состава сотрудников производства, об этом в течение суток сообщается в орган внутренних дел, выдавший разрешение на функционирование штемпельно-граверного предприятия.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 выдаче разрешения отказывается в случаях, если не представлены документы в соответствии с требованиями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Штемпельно-граверные предприятия должны находиться в охраняемых, изолированных помещениях, обеспечивающих сохранность оборудования, сырья, готовых изделий штемпельно-граверного производства и исключающих возможность проникновения в производственные цеха посторонних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окончании рабочего дня производственные цеха, кладовые, помещения для приема заказов и выдачи готовых изделий закрываются и опечатываются. Окна цокольных и первых этажей оборудуются железными решетками.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Штемпельно-граверные предприятия принимают заказы на изготовление печатей и штампов от учреждений, предприятий, организаций и граждан, с обязательным приложением к отношению или заявлению граждан образцов (эскизов), кроме государственных органов и организаций печати и штампы которых подлежат обязательной защите от подделки.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Основанием для изготовления печатей и штампов являются: свидетельство о государственной регистрации юридического лица, а для физических лиц – документ, удостоверяющий регистрацию в качестве индивидуального предпринимателя. Эскизы печатей и штампов должны быть выполнены чисто и разборчиво. Эскизы печатей и штампов с внесенными в них поправками в работу не принимаются.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Заказы на изготовление печатей и штампов сдаются сотруднику по приему заказов и выдаче готовых изделий, сотрудники тщательно проверяют представленные заказчиками документы. Принятые заказы регистрируются в книге принятых заказов на изготовление печатей и штампов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Книга).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Принятые из цехов готовые печати и штампы регистрируются в Книге.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Изготовленные печати и штампы выдаются заказчикам или представителям заказчика по доверенности с предъявлением удостоверения личности. В Книге заказчик или представитель заказчика расписывается и указывает серию, номер удостоверения личности, кем и когда он выдан. Затем производится контрольный оттиск печатей и штампов.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Все документы, относящиеся к выполненным и сданным заказам, хранятся в помещении для приема заказов и выдачи готовых изделий подшитыми в хронологическом порядке в специальном деле в течение двух лет, после чего уничтожаются в присутствии сотрудника органа внутренних дел, с составлением акта.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Изготовленные печати и штампы в штемпельно-граверном предприятии хранятся в железных ящиках (шкафах).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Бракованные печати и штампы (производственный брак) уничтожаются в недельный срок со дня выявления брака комиссионно при участии сотрудника органов внутренних дел.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Бракованные изделия из каучука разрезаются на мелкие части или сжигаются, изделия из металла опиливаются двумя перекрестными линиями при участии сотрудника органа внутренних дел. Об уничтожении брака составляется акт с оттиском уничтоженных печатей и штампов, который хранится в штемпельно-граверном предприятии.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Невостребованные заказчиком печати и штампы хранятся в течение трех месяцев со дня изготовления, после чего уничтожаются в порядке, предусмотренном пунктом 14 настоящих Правил.</w:t>
      </w:r>
    </w:p>
    <w:bookmarkEnd w:id="7"/>
    <w:bookmarkStart w:name="z2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открытия и функционирования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штемпельно-граверных предприятий    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25"/>
        <w:gridCol w:w="4325"/>
      </w:tblGrid>
      <w:tr>
        <w:trPr>
          <w:trHeight w:val="30" w:hRule="atLeast"/>
        </w:trPr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Корешок разрешения №
«___» _________ 20 ___ г.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Выдано _________________________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      (фамилия, инициалы руководителя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________________________________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 предприятия или физического лица,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  адрес и служебный или домашний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              телефон)
под персональную ответственность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________________________________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(фамилия, инициалы ответственного лица,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служебный телефон, № приказа и дата 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назначении ответственного лица)
на право открытия,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функционирования, хранения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_______________________________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 (указывается объект, количество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_______________________________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  предметов, аппаратов, единиц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_______________________________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 оборудования разрешенных хранению)
Действительно до «__» ___ 20__ г.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Начальник ______________________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               (подпись)
Примечание. В случае большого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количества наименований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оборудования прилагается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приложение, которое является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неотъемлемой частью данного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разрешения.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________________________________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 (наименование органа внутренних дел)
Разрешение №
Выдано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_______________________________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(фамилия, инициалы руководителя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_______________________________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предприятия или физического лица, адрес 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служебный или домашний телефон)
под персональную ответственность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________________________________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(фамилия, инициалы ответственного лица,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служебный телефон, № приказа и дата 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назначении ответственного лица)
на право открытия,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функционирования, хранения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________________________________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(указывается объект, количество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________________________________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предметов, аппаратов, единиц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________________________________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оборудования разрешенных хранению)
Действительно до «__» ___ 20__ г.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Начальник ______________________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               (подпись)
Примечание. В случае большого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количества наименований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оборудования прилагается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приложение, которое является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неотъемлемой частью данного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разрешения.
</w:t>
            </w:r>
          </w:p>
        </w:tc>
      </w:tr>
    </w:tbl>
    <w:bookmarkStart w:name="z2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открытия 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функционирования штемпельно-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граверных предприятий     </w:t>
      </w:r>
    </w:p>
    <w:bookmarkEnd w:id="9"/>
    <w:bookmarkStart w:name="z2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Книга</w:t>
      </w:r>
      <w:r>
        <w:br/>
      </w:r>
      <w:r>
        <w:rPr>
          <w:rFonts w:ascii="Times New Roman"/>
          <w:b/>
          <w:i w:val="false"/>
          <w:color w:val="000000"/>
        </w:rPr>
        <w:t>
принятых заказов на изготовление печатей и штампов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1627"/>
        <w:gridCol w:w="2801"/>
        <w:gridCol w:w="1501"/>
        <w:gridCol w:w="1376"/>
        <w:gridCol w:w="2382"/>
        <w:gridCol w:w="3180"/>
      </w:tblGrid>
      <w:tr>
        <w:trPr>
          <w:trHeight w:val="900" w:hRule="atLeast"/>
        </w:trPr>
        <w:tc>
          <w:tcPr>
            <w:tcW w:w="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заказа</w:t>
            </w:r>
          </w:p>
        </w:tc>
        <w:tc>
          <w:tcPr>
            <w:tcW w:w="2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заказчика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изделий</w:t>
            </w:r>
          </w:p>
        </w:tc>
        <w:tc>
          <w:tcPr>
            <w:tcW w:w="23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заказчика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получении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уд. личности,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доверенности</w:t>
            </w:r>
          </w:p>
        </w:tc>
      </w:tr>
      <w:tr>
        <w:trPr>
          <w:trHeight w:val="9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печать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штамп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