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256" w14:textId="3b42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2011-2015 годы" (САПП Республики Казахстан, 2011 г., № 10-11, ст. 143)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труда и социальной защиты населения Республики Казахстан на 2011-2015 годы, утвержденный указанным постановлением,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1617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2011 - 2015 годы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 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текущей ситуации и тенденции развития соответствующих отраслей (сфер)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>, цели, задачи, целевые индикаторы, мероприятия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 </w:t>
      </w:r>
      <w:r>
        <w:rPr>
          <w:rFonts w:asci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функциональных возможностей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5. 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6. </w:t>
      </w:r>
      <w:r>
        <w:rPr>
          <w:rFonts w:ascii="Times New Roman"/>
          <w:b w:val="false"/>
          <w:i w:val="false"/>
          <w:color w:val="000000"/>
          <w:sz w:val="28"/>
        </w:rPr>
        <w:t>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7.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трудовых прав, содействие продуктивной занятости и росту благосостояния обеспечения.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Видение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 качества жизни на основе расширения доступности достойной занятости, повышения уровня социального обеспечения, развития и оптимизации системы социальной поддержки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Цели, задачи и направления деятельности Министерства труда и социальной защиты населения РК (далее – Министерство) на 2011 – 2015 годы определены исходя из Посланий Президента Республики Казахстан народу Казахстана (от 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«Через кризис к обновлению и развитию»</w:t>
      </w:r>
      <w:r>
        <w:rPr>
          <w:rFonts w:ascii="Times New Roman"/>
          <w:b w:val="false"/>
          <w:i w:val="false"/>
          <w:color w:val="000000"/>
          <w:sz w:val="28"/>
        </w:rPr>
        <w:t>, от 29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«Новое десятилетие – новый экономический подъем – новые возможности Казахстана»</w:t>
      </w:r>
      <w:r>
        <w:rPr>
          <w:rFonts w:ascii="Times New Roman"/>
          <w:b w:val="false"/>
          <w:i w:val="false"/>
          <w:color w:val="000000"/>
          <w:sz w:val="28"/>
        </w:rPr>
        <w:t>, от 28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«Построим будущее вместе!»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и Плана Правительства Республики Казахстан по обеспечению 7 %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ними управление социально-трудовой сферой направлено на содействие устойчивому экономическому развитию, обеспечение социальной безопасности, эффективное функционирование системы социальных гарантий и развитие человеческого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основными направлениями работы Министерства в предстоящий период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росту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продуктивной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реализации трудовых прав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повышению благосостояния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эффективной системы социальной поддержки уязвимых категорий населения.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 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1.</w:t>
      </w:r>
      <w:r>
        <w:br/>
      </w:r>
      <w:r>
        <w:rPr>
          <w:rFonts w:ascii="Times New Roman"/>
          <w:b/>
          <w:i w:val="false"/>
          <w:color w:val="000000"/>
        </w:rPr>
        <w:t>
Содействие росту трудовых ресурсов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Предусмотренный Стратегическим планом развития Республики Казахстан до 2020 года «качественный рост экономики … будет основан на … развитии человеческих ресурсов», необходимых для индустриально-инновационной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зависит от улучшения демографической ситуации и обеспечения устойчивого роста численности населения. Для достижения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роста численности населения на 10 % необходимо обеспечить дальнейший рост рождаемости, увеличение общей продолжительности жизни и положительное сальдо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данных проблем предполагает координацию деятельности и организацию взаимодействия центральных и местных исполнительных органов РК различного ведомственного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населения, являясь одним из звеньев в системе управления демографическими процессами, призвано содействовать созданию благоприятных условий для повышения рождаемости улучшения положения семей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деятельности Министерства по содействию росту рождаемости определены с учетом ее современного состояния.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регулируемой сферы деятельности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истекший период отмечено увеличение численности населения: на 1 января 2011 года она составила 16,4 млн. человек, превысив уровень 1999 года на 1,5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населения был обеспечен, главным образом, за счет роста рождаемости. В последние пять лет среднегодовое количество рожденных детей превысило 330 тыс; коэффициент рождаемости в 2008 – 2010 гг. (составил 22,58 в среднем) превысил уровень 1990 года.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Рисунок 1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рождаемости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(общий коэффициент рождаемости, на 1000 человек)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397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 изменилась возрастная структура населения. В 2010 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граждан трудоспособного возраста увеличилась с 49,6 % (2003 г.) до 52,5 %)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детей  до 18 лет приблизилась к одной трети.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улучшение демографической ситуации  определенное влияние оказало развитие системы социальной поддержки семей с детьми. Начиная с 2003 года, поэтапно введены широко распространенные в международной практике (США, страны ЕС, Россия, Республика Беларусь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единовременные социальные пособия на рождение ребенка в размерах от 30 МРП (на рождение первого, второго и третьего ребенка) до 50 МРП (на рождение четвертого и последующих детей), выплачиваемые семьям из РБ вне зависимости от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 за ребенком до 1 года. Неработающим матерям, оно выплачивается из РБ вне зависимости от дохода в размере  от 5,5 до 8,5 МРП (в  зависимости от количества рожденных и воспитываемых в семье детей). Работающие матери (или члены семьи – участники системы социального страхования, получают социальные выплаты из АО «ГФСС» в размере 40 % от их средней заработной платы за последние 24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пособие родителям, опекунам, воспитывающим детей-инвалидов (введено с 2010 года) в размере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пособие на детей до 18 лет, назначаемое и выплачиваемое малообеспеченным семьям, доходы которых ниже продовольственной корзины, из МБ в размере одного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2010 года изменены условия награждения многодетных матерей подвесками «Алтын алқа» и «Күміс алқа», и увеличены размеры выплачиваемого им специального государственного пособия (с  3,9 до 6 МРП).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период функционирования новой системы  поддержки материнства и детства: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семей, получающих пособие на рождение ребенка,  увеличилось с 157,5 тыс. (в 2003 году) до 329,2 тыс. (более чем в 2 раза);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семей, имеющих четырех и более детей – с 7 % в 2003 году, до 13 % в 2010 году.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на фоне положительных изменений, наблюдавшихся в последние годы, в демографической сфере имеют место и отдельные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низкая плотность населения страны (5,7 человек на один квадратный километр) ограничивает возможности регионального развития и остается одним из факторов, влияющих на социально-экономическую стабильность.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тенденции старения населения. В перспективе (до 2020 года) прогнозируется увеличение доли населения старше трудоспособного возраста за счет лиц рожденных в послевоенное время (в период «бума рождаемости»). Тенденция старения населения сохранится и в последующие годы. По расчетам Агентства РК по статистике, доля пожилых людей к 2030 году увеличится до 11,1–11,3 %, к 2050 году – до 14,7-15 %.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Старение населения будет иметь весьма разнообразные последствия  для экономического роста, сбережений и инвестиций, предложения рабочей силы и занятости, программ пенсионного обеспечения, здравоохранения и социального обслуживания, налогообложения, структуры семьи и жизненных укладов.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Снижение  миграционного прироста населения: положительное сальдо миграции в 2010 году в сравнении с 2005 годом сократилось в 1,5 раза, имеют место миграционные потери трудоспособного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Дефицит трудовых ресурсов на национальном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Относительно низким остаются охват детей до 18 лет системой социальной поддержки (15 % от общей численности детей). Размеры детских и семейных пособий относительно невелики, что препятствует  созданию равных стартовых возможностей развития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Сохраняется относительно высокий уровень производственного травматизма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 развития регулируемой сферы деятельности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сложившейся, таким образом, ситуации для обеспечения роста трудовых ресурсов будет продолжена реализация мер, направленных на усиление государственной поддержки семей, имеющих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размеров (индексация) пособий на рождение ребенка, по уходу за ребенком по достижению им одного года и специальных государственных пособий для многодетных матерей;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размера пособия на детей до 18 лет из малообеспеченных семей за счет оптимизации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внедрению обусловленных социальных выплат и обеспечению  доступа семей к социальным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индивидуального сопровождения и обслуживания семей и детей, находящихся в трудной жизненной ситуации.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 Содействие продуктивной занятости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форсированному индустриально-инновационному развитию и структурные изменения в экономике предполагают соответствующие изменения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для обеспечения потребностей экономики в трудовых ресурсах, содействия сбалансированности спроса и предложения на рынке труда Министерство совместно с центральными и местными исполнительными органами должно обеспечить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предусматривающую снижение уровня общей безработицы к 2015 году до 5,5 %, формализацию трудовых отношений и повышение удельного веса эффективной занятости и повышение профессиональной и территориальной мобильности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развитие системы управления социальными рисками в сфере занятости является отражением реалий, проблем и  тенденций, сложившихся в данной сфере к настоящему времени.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Рынок труда и занятость.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 структура занятости в отчетный период находились в прямой зависимости от той экономической ситуации, которая сложилась в стране под влиянием мирового финансово-экономического кризиса и в период экономической стабилизации.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экономического роста (2008 – 2009 гг.), закрытие и/или приостановка производства на отдельных предприятиях привели к снижению спроса на рабочую силу, временному снижению уровня занятости, появлению скрытой безработицы и увеличению неформальной занятости. В такой ситуации для предупреждения роста безработицы и содействия региональной занятости Правительством Республики Казахстан были разработаны и реализованы специальные антикризисные меры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последние два года на ремонтных работах было создано более 390 тыс. рабочих мест, 148,7 тыс. безработных были направлены на подготовку и переподготовку с последующим трудоустройством. На социальные рабочие места было трудоустроено более 108 тыс. представителей целевых групп населения, временной работой в рамках молодежной практики было обеспечено около 90 тыс. выпускников. 202,3 тыс. человек были вовлечены в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уменьшения риска неупорядоченной миграции, снижения давления на национальный рынок труда в 2009 году в два раза была сокращена квота привлечения иностранной рабочей силы (далее – ИРС). Численность привлекаемых иностранных работников уменьшилась с 54204 (2008 г.) до 30988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дополнительных мер по регулированию и контролю за привлечением иностранных специалистов, принятых в 2010 году, численность привлеченных иностранных работников составила – 24,7 тыс. человек, в том числе доля высококвалифицированной ИРС первой категории увеличилась до 74,6 % (для сравнения: 45,6 % – в 2008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Предпринятые меры привели к дальнейшему снижению уровня безработицы. В 2010 году он составил 5,8 %, а в первом квартале т.г. – 5,5 %.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рынка труда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1722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возможности роста занятости открывает переход к форсированному индустриально-инновационному развитию. Реализация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(далее – ГПФИИР) предполагает создание 161 тыс. постоянных и 207 тыс. временных новых рабочих мест, но для того, чтобы их заполнить, необходимо соответствующее качество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разработана Новая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предполагающая развитие трудовых ресурсов, повышение их профессиональной и территориальной мобильности, содействие продуктивной занятости, самостоятельно занятого, безработного и малообеспеченного населения.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проблем.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национального рынка труда сталкивается с определенными проблемами и трудностями.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рынок труда не сбалансирован. Сохраняется безработица, особенно высок ее уровень среди женщин. Распространяется скрытая форма безработицы. При наличии безработицы на предприятиях и в организациях сохраняются не заполненные рабочие места (вакансии). Не удовлетворяется спрос на работников массовых рабочих профессий, а также высококвалифицированных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Неформальный сектор экономики продолжает занимать значительную часть экономически активного населения, лишенного социальной защиты. Более 33 % работающего населения являются самозанятыми. Около половины из них (более 1,3 млн. человек) заняты на личном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 удельный вес неэффективной занятости - около трети наемных работников заняты в трудоемких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трудовых ресурсов не отвечает потребностям инновационной экономики (примерно треть занятого населения не имеют профессионального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глобализация экономики и сложная социально-экономическая ситуация в сопредельных странах, неэффективные механизмы регулирования и контроля за миграционными потоками ведут к росту неуправляемой миграции, давлению на внутренний рынок труда и нарушению национальных интересов.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управления сферой занятости в ближайшей перспективе будет проводиться с учетом воздействия на рынок труда и занятость определенных внутренних и внешних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</w:t>
      </w:r>
      <w:r>
        <w:rPr>
          <w:rFonts w:ascii="Times New Roman"/>
          <w:b w:val="false"/>
          <w:i/>
          <w:color w:val="000000"/>
          <w:sz w:val="28"/>
        </w:rPr>
        <w:t xml:space="preserve">содействии продуктивной занятости </w:t>
      </w:r>
      <w:r>
        <w:rPr>
          <w:rFonts w:ascii="Times New Roman"/>
          <w:b w:val="false"/>
          <w:i w:val="false"/>
          <w:color w:val="000000"/>
          <w:sz w:val="28"/>
        </w:rPr>
        <w:t>центр тяжести переносится с создания временных рабочих мест (в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>) на создание условий для устойчивой и продуктивной занятости. Для этого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потребуется совершенствовать и гармонизировать законодательство о труде и занятости населения, улучшить мониторинг и повысить качество прогнозирования рынка труда и занятости, приступить к разработке и использованию баланса трудовых ресурсов. Предстоит обновить сеть информационно-консультационных услуг, ориентированных на потребности населения и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государственными органами будут приняты действенные меры по профессиональной подготовке и переподготовки кадров на основе национальной рамки квалификаций, усилению профессиональной и территориальной мобильности трудовых ресурсов. Дополнительных усилий потребует формализация трудовых отношений; активизация трудового потенциала и повышение производительности труда самозанятого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Сохранится необходимость защиты национального рынка труда и привлечения ИРС.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экономики, стабильная и продуктивная занятость создадут прочную основу для роста благосостояния населения.</w:t>
      </w:r>
    </w:p>
    <w:bookmarkEnd w:id="31"/>
    <w:bookmarkStart w:name="z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</w:t>
      </w:r>
      <w:r>
        <w:br/>
      </w:r>
      <w:r>
        <w:rPr>
          <w:rFonts w:ascii="Times New Roman"/>
          <w:b/>
          <w:i w:val="false"/>
          <w:color w:val="000000"/>
        </w:rPr>
        <w:t>
Обеспечение реализации трудовых прав граждан.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доступности достойного труда Министерство совместно с центральными и местными исполнительными органами должно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современных стандартов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института социального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защиту трудовых прав граждан;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управлении трудовой сферой: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продолжалось внедрение современных трудовых стандартов. Прежде всего в отраслях с вредными и особо вредными условиями производства («Система менеджмента профессиональной безопасности и охраны труда. Требования» (СТ РК 1348-2005); международный стандарт МОТ-СУОТ 2001 ILO-OSH 2001, стандарт OHSAS 18001: 1999 «Occupational Health and Safety Assessment Series. Requirements (MOD»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принимались меры по снижению уровня травматизма на производстве: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предприятий (в 2009 году по условиям труда аттестовано около 3 тыс. производственных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охвата работников страхованием от несчастных случаев при исполнении ими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оценки рисков (далее - СОР);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повышалась роль переговорного процесса (количество действующих коллективных договоров в настоящее время превысило 50 тыс.) (стимулировалось повышение корпоративной социальной ответственности бизнеса (реализация Программы «Достойный труд на 2010 – 2012 годы», республиканская акция «Заключите коллективный договор», конкурс по социальной ответственности бизнеса «Парыз»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совместно с Федерацией профсоюзов Республики Казахстан и НЭП «Союз «Атамекен» инициировало заключение меморандумов с крупными компаниями по сохранению рабочих мест и предотвращению массового высвобождения работников. По состоянию на 1 января 2011 года заключено более 7,9 тыс. меморандумов по реализации социальных проектов, на сумму более 42,3 млрд. тенге; 8,4 тыс. Меморандумов о взаимном сотрудничестве в стабилизации производственных процессов, социальной защите, обеспечении трудовых прав и гарантий с охватом 950 тыс. работников.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трудовых отношений сталкивается с определенными проблемами и трудностями. Сохраняются нарушения трудового законодательства. Так на 1 января т.г. общая задолженность по заработной плате составляла 3234,2 млн. тенге.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 остается уровень производственного травматизма.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на производстве пострадало 2162 человек, что на 2,3 % выше аналогичного периода 2009 года (в 2009 году – 2102 человек). Уровень производственного травматизма со смертельным исходом вырос на 4,9 % и составил 363 погибших (в 2009 году – 346 человек).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развитием трудовых отношений в перспективе будет осуществляться в соответствии с нормами Трудового кодекса в интересах сбалансированности интересов основных субъектов трудовых отношений и реализации их конституционных прав. Предполагается дальнейшее повышение роли социального диалога и рост социальной ответственности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государственной инспекции по труду будет осуществляться в условиях необходимого снижения барьеров для бизнеса. В соответствии с поручениями Президента РК основное внимание в СОР предстоит уделить профилактике правонарушений, рисков несчастных случаев на производстве, устранению имеющих место нарушений и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Внешней средой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разработки и реализации государственной политики управления трудовыми отношениями остается глобализация экономики, развитие интеграционных процессов в рамках СНГ, ЕврАзЭС, формирование единого таможенного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рекомендаций международных социальных институтов в целях сопоставимости будет продолжена работа над приближением национальных стандартов трудовых отношений к стандартам наиболее развитых стран, унификацией трудового законодательства в рамках Таможенного Союза Казахстана, Российской Федерации и Республики Беларусь.</w:t>
      </w:r>
    </w:p>
    <w:bookmarkEnd w:id="39"/>
    <w:bookmarkStart w:name="z11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4.</w:t>
      </w:r>
      <w:r>
        <w:br/>
      </w:r>
      <w:r>
        <w:rPr>
          <w:rFonts w:ascii="Times New Roman"/>
          <w:b/>
          <w:i w:val="false"/>
          <w:color w:val="000000"/>
        </w:rPr>
        <w:t>
Содействие повышению благосостояния населения</w:t>
      </w:r>
    </w:p>
    <w:bookmarkEnd w:id="40"/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41"/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доходов населения формируется за счет </w:t>
      </w:r>
      <w:r>
        <w:rPr>
          <w:rFonts w:ascii="Times New Roman"/>
          <w:b w:val="false"/>
          <w:i/>
          <w:color w:val="000000"/>
          <w:sz w:val="28"/>
        </w:rPr>
        <w:t>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</w:t>
      </w:r>
      <w:r>
        <w:rPr>
          <w:rFonts w:ascii="Times New Roman"/>
          <w:b w:val="false"/>
          <w:i/>
          <w:color w:val="000000"/>
          <w:sz w:val="28"/>
        </w:rPr>
        <w:t xml:space="preserve"> минимальный размер заработной платы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увеличился в 1,7 раза (с 9200 до 15 999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одного работника по видам экономической деятельности в целом по стране (по данным Агентства Республики Казахстан по статистике) – выросла в 1,9 раза и в 2010 году составила 77 482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Посланиями Президента РК заработная плата работников бюджетной сферы в 2006-2007 гг. была повышена на 32 и 30 %, соответственно. Дважды – в 2009 году и с 1 апреля 2010 года уровень заработной платы работников бюджетной сферы был увеличен на 25 % и в настоящее время в среднем составляет 56 160 тенге. При этом, с 1 июля 2011 года произведено повышение на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 и обсуждается с представителями государственных органов и профсоюзов проект новой модели системы оплаты труда гражданских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семи отраслях промышленности (горно-металлургической, машиностроительной, угольной, нефтегазовой, строительной, химической, электроэнергетической) утверждены и применяются повышающие отраслевые коэффициенты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место в составе доходов населения занимают </w:t>
      </w:r>
      <w:r>
        <w:rPr>
          <w:rFonts w:ascii="Times New Roman"/>
          <w:b w:val="false"/>
          <w:i/>
          <w:color w:val="000000"/>
          <w:sz w:val="28"/>
        </w:rPr>
        <w:t>социальные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функционирует соответствующая принципам рыночной экономики многоуровневая модель системы социального обеспечения, предусматривающая распределение ответственности за социальное обеспечение между </w:t>
      </w:r>
      <w:r>
        <w:rPr>
          <w:rFonts w:ascii="Times New Roman"/>
          <w:b w:val="false"/>
          <w:i/>
          <w:color w:val="000000"/>
          <w:sz w:val="28"/>
        </w:rPr>
        <w:t>государством, работодателем и работником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социального обеспечения являются постоянно обновляемые минимальные социальные стандарты. В сравнении с 2006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прожиточный минимум увеличился с 7945 до 15999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минимальные размеры пенсий с учетом базовой социальной выплаты – более чем в два раза (с 9700 до 24047).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поручениями Главы государства, основными положениями социальной программы Народной платформы НДП «Нұр Отан» и программой действий Правительства в 2009-2010 годах пенсионные выплаты ежегодно повышались на 25 %, с 2011 года – на 30 %; социальные выплаты в 2010 году – на 9 %, в 2011 году – на 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этих повышений и выплат из НПФ средние размеры совокупных пенсионных выплат на 01.01.2011 года составили 29,4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участие работников в накопительной пенсионной системе (далее – НПС) и системе обязательного социального страхования. Количество участников НПС на 1.01.2011 года составило 5469,1 млн. человек, а пенсионные накопления НПФ превысили 2346,5 млрд. тенге. Количество участников системы социального страхования приблизилось к шести миллионам человек, активы ГФСС превысили 235,7 млрд. тенге; социальные выплаты из ГФСС в среднем за 2010 год составили 33 632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в Казахстане функционирует система социальной помощи, которая охватывает малообеспеченные слои населения. Она выступает в форме </w:t>
      </w:r>
      <w:r>
        <w:rPr>
          <w:rFonts w:ascii="Times New Roman"/>
          <w:b w:val="false"/>
          <w:i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(специальные государственные пособия, адресная социальная помощь, государственные пособия детям до 18 лет из малообеспеченных семей, жилищная помощь и др.)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Системой адресной социальной помощи и поддержки в настоящее время охвачено более одного миллиона казахстанцев.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меры, уровень жизни в Республике Казахстан отстает от уровня наиболее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оплате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сохраняется региональная и отраслевая дифференциация, заработная плата работников бюджетной сферы значительно отстает от ее уровня по экономике в целом. Несовершенны стандарты минимальной заработной платы. Нарушена зависимость оплаты труда от ее результатов – темпы роста заработной платы опережают темпы роста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системе социального обеспечения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основной проблемой остается неадекватность социальных выплат прежним доходам и растущему уровню жизни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следствие - в стране </w:t>
      </w:r>
      <w:r>
        <w:rPr>
          <w:rFonts w:ascii="Times New Roman"/>
          <w:b w:val="false"/>
          <w:i/>
          <w:color w:val="000000"/>
          <w:sz w:val="28"/>
        </w:rPr>
        <w:t>сохраняется бедность</w:t>
      </w:r>
      <w:r>
        <w:rPr>
          <w:rFonts w:ascii="Times New Roman"/>
          <w:b w:val="false"/>
          <w:i w:val="false"/>
          <w:color w:val="000000"/>
          <w:sz w:val="28"/>
        </w:rPr>
        <w:t>. Ей подвержены, в первую очередь, многодетные семьи и сельские жители; сохраняются работающие бедные.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Бедность усугубляется неравенством и значительным разрывом в уровне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проблемами, требующими решения в системе социальной помощи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низкая эффективность и отсутствие системности в организации предоставления социальной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недостаточное использование методов активизации трудовых усилий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указанных проблем в системе социальной помощи связано с различными причинами. Объективно они обусловлены макроэкономической ситуацией, финансово-экономическими возможностями и приоритетами общегосударственного и регионального масштаба. Субъективно – с несовершенством механизма оказания социальной помощи, низкой трудовой мотивацией у значительной части целевых групп населения и ограниченными возможностями самостоятельного выхода из круга бедности.</w:t>
      </w:r>
    </w:p>
    <w:bookmarkEnd w:id="44"/>
    <w:bookmarkStart w:name="z1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45"/>
    <w:bookmarkStart w:name="z1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Устойчивая макроэкономическая ситуация, возможность использования преимуществ, связанных с международным сотрудничеством, совершенствование системы управления социальными рисками остаются той средой, в рамках которой предстоит ответить на основные вызовы времени и обеспечить неуклонный рост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доходах населения </w:t>
      </w:r>
      <w:r>
        <w:rPr>
          <w:rFonts w:ascii="Times New Roman"/>
          <w:b w:val="false"/>
          <w:i/>
          <w:color w:val="000000"/>
          <w:sz w:val="28"/>
        </w:rPr>
        <w:t>сохранится особое значение заработной платы.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Предстоит: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добиться органического включения вопросов оплаты труда в систему коллективно-договорных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расширить практику установления МСОТ;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зависимость заработной платы от производительности труда и конечных результатов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доработать и внедрить новую модель системы оплаты труда гражданских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реформирования системы оплаты труда гражданских служащих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уточнено понятие базового должностного 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сформирован новый реестр должностей, основанный на функционально-блоковом подходе и обоснованных критериях разделения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введена новая сетка коэффициентов для исчисления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оптимизирована действующая система доплат и надбавок за условия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фактором усиления финансовой устойчивости системы социального обеспечения и социального страхования системы явится обновление социального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факторов должна стать основой работы Министерства по повышению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стабилизация и переход к индустриально-инновационному развитию расширят возможности использования экономического роста для решения важнейших социальных проблем и, в первую очередь, для преодоления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формы обусловленной социальной помощи и поддержки будут внедрены в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 Комплексное решение вопросов расширения доступности продуктивной занятости и снижения бедности позволит сузить круг лиц, нуждающихся в социальной помощи и поддержке и усилить ее адресный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поручений Главы государства будет продолжено совершенствование механизма социальной помощи и поддержки. В 2011–2012 годах с учетом международного опыта на основе пилотных исследований будет осуществлена оптимизация видов и форм оказания адресной социальной помощи и поддержки, сформированы универсальные и единые для всех регионов требования к ее предоставлению.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возможности для учета и мониторинга оказания социальной помощи и поддержки будут созданы в ходе внедрения единой информационной системы социально трудовой сферы (начиная с 2011 г.).</w:t>
      </w:r>
    </w:p>
    <w:bookmarkEnd w:id="46"/>
    <w:bookmarkStart w:name="z1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5.</w:t>
      </w:r>
      <w:r>
        <w:br/>
      </w:r>
      <w:r>
        <w:rPr>
          <w:rFonts w:ascii="Times New Roman"/>
          <w:b/>
          <w:i w:val="false"/>
          <w:color w:val="000000"/>
        </w:rPr>
        <w:t>
Формирование эффективной системы социальной поддержки уязвимых</w:t>
      </w:r>
      <w:r>
        <w:br/>
      </w:r>
      <w:r>
        <w:rPr>
          <w:rFonts w:ascii="Times New Roman"/>
          <w:b/>
          <w:i w:val="false"/>
          <w:color w:val="000000"/>
        </w:rPr>
        <w:t>
категорий населения.</w:t>
      </w:r>
    </w:p>
    <w:bookmarkEnd w:id="47"/>
    <w:bookmarkStart w:name="z1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48"/>
    <w:bookmarkStart w:name="z1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так же, как и в любой другой стране, определенная часть населения – лица пожилого возраста, инвалиды, и иные представители целевых групп населения нуждаются в особой социальной поддержке. Она выступает в форме </w:t>
      </w:r>
      <w:r>
        <w:rPr>
          <w:rFonts w:ascii="Times New Roman"/>
          <w:b w:val="false"/>
          <w:i/>
          <w:color w:val="000000"/>
          <w:sz w:val="28"/>
        </w:rPr>
        <w:t>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социальной поддержки повышается роль и расширяются полномочия местных органов государственного управления. Развивается партнерство с представителями гражданского общества, растет благотворительность.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смягчения бедности и повышения качества жизни активно используется предоставление специальных социальных услуг.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социальных услугах» (принят в 2008 году) принимаются меры по повышению качества социального обслуживания лиц, оказавшихся в трудной жизненной ситуации. В 2010 году в стране функционировали 106 медико-социальных организаций, услуги которых получают 20,6 тыс. человек, в том числе 4,4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поэтапно внедряются стандарты оказания специальных социальных услуг (для детей с психоневрологическими патологиями – 2009 г., для лиц с психоневрологическими заболеваниями старше 18 лет – 2010 г., для престарелых, инвалидов и детей с нарушениями опорно-двигательного аппарата – 2011 г., для лиц без определенного места жительства планируется с 2012 г.). Стандарты оказания специальных социальных услуг носят универсальный характер и внедряются в государственном, частном и неправительственном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оказании социальных услуг развивается конкурентная среда.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оказании социальной поддержки уделяется лицам с ограниченными возможностями.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социальной защите инвалидов в Республике Казахстан», на государственном уровне разработаны комплексные меры по медицинской, социальной и профессиональной реабилитации инвалидов. Оказание бесплатной гарантированной медицинской помощи, повышение качества социальных услуг, обеспечение доступности образования, информации, свободный выбор рода деятельности с учетом состояния здоровья, профессиональная подготовка и переподготовка, восстановление трудоспособности и содействие в трудоустройстве направлены на создание равных возможностей участия инвалидов в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к поэтапной имплементации международных стандартов в области прав инвалидов, Казахстан подписал в 2008 году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Факультативный протокол к ней.</w:t>
      </w:r>
    </w:p>
    <w:bookmarkEnd w:id="49"/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проблемами, требующими решения в системе социальной поддержки населения,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охват нуждающегося населения социальной поддержкой;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незавершенность стандартизации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низкая эффективность реабилитационных услуг, предоставляемых лицам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неполное соответствие перечня и качества специальных социальных услуг запросам и индивидуальному неблагополучию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недостаточное развитие альтернативных форм социального обслуживания и конкурентной среды на рынке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этих и иных проблем в системе социальной поддержки населения связано с различными причинами. Объективно они обусловлены макроэкономической ситуацией, финансово-экономическими возможностями и приоритетами общегосударственного и регионального масштаба. Субъективно – с несовершенством механизма оказания социальной поддержки, относительно низким профессионализмом и недостаточной ответственностью социальных работников, несовершенством и относительно низким уровнем оплаты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таких условиях дальнейшее развитие системы социальной поддержки требует максимально возможного использования имеющихся для этого внешних и внутренних факторов.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поручений Главы государства будет продолжено совершенствование механизма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специальных социальных услугах» в период до 2017 года предусматривается продолжение реформирования системы предоставления специальных социальных услуг, направленное на демонополизацию рынка предоставления специальных социальных услуг; внедрение гарантированного государством объема специальных социальных услуг; внедрение стандартов оказания специальных социальных услуг; развитие инфраструктуры 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социальной защите и созданию равных возможностей участия в общественной жизни для инвалидов в ближайшей перспективе будет осуществляться в рамках реализации международных обязательств, принятых на себя Казахстаном в связи с подписанием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Факультативного протокола к ней. Министерство совместно с заинтересованными государственными органами, международными и неправительственными организациями, разработало проект Национального Плана действий на долгосрочную перспективу по обеспечению прав и улучшению качества жизни людей с ограниченными возможностями.</w:t>
      </w:r>
    </w:p>
    <w:bookmarkEnd w:id="53"/>
    <w:bookmarkStart w:name="z1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745"/>
        <w:gridCol w:w="952"/>
        <w:gridCol w:w="1182"/>
        <w:gridCol w:w="1057"/>
        <w:gridCol w:w="1099"/>
        <w:gridCol w:w="1015"/>
        <w:gridCol w:w="1308"/>
        <w:gridCol w:w="1391"/>
        <w:gridCol w:w="1205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 Содействие росту рождаемости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003, 005, 008, 012 ,028, 033</w:t>
            </w:r>
          </w:p>
        </w:tc>
      </w:tr>
      <w:tr>
        <w:trPr>
          <w:trHeight w:val="255" w:hRule="atLeast"/>
        </w:trPr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рожденных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ГФСС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потери 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родами, 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ребенком)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семей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 Социальная поддержка семей с детьми</w:t>
            </w:r>
          </w:p>
        </w:tc>
      </w:tr>
      <w:tr>
        <w:trPr>
          <w:trHeight w:val="75" w:hRule="atLeast"/>
        </w:trPr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на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возрасте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 из ГФСС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системы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 и детства на основе: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совершенствования законодательства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ГФСС на случай потери дохода в связи с 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по достижению им возраста одного года;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разработки и внесения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предложений: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и дополнению условий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семьям с детьми (переход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обусловленным выплатам);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пособий на детей 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за счет оптимизации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социальных выплат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размеров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охвата работающих женщин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страхования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связи с наступлением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рисков потери дохода в 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родами и уходом за ребенком по достижению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возраста 1 года)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9"/>
        <w:gridCol w:w="1948"/>
        <w:gridCol w:w="1116"/>
        <w:gridCol w:w="1386"/>
        <w:gridCol w:w="1199"/>
        <w:gridCol w:w="1140"/>
        <w:gridCol w:w="1140"/>
        <w:gridCol w:w="1202"/>
        <w:gridCol w:w="1203"/>
        <w:gridCol w:w="151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2.1. Повышение уровня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008, 012, 014, 015, 019, 028, 121, 128</w:t>
            </w:r>
          </w:p>
        </w:tc>
      </w:tr>
      <w:tr>
        <w:trPr>
          <w:trHeight w:val="255" w:hRule="atLeast"/>
        </w:trPr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женская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в Глобальном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(ГИК) по 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«Участие 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силе»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2.1.1. Повышение качества трудовых ресурсов</w:t>
            </w:r>
          </w:p>
        </w:tc>
      </w:tr>
      <w:tr>
        <w:trPr>
          <w:trHeight w:val="75" w:hRule="atLeast"/>
        </w:trPr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содействием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населения)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общенациональной базы данных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вакансий и прогнозируемых рабочих мест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разработке профессиональных стандартов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государственной поддержки лицам, проходящим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внутрифирменной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персонала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2.1.2. Активизация безработного, самозанятого и малообеспеченного населения</w:t>
            </w:r>
          </w:p>
        </w:tc>
      </w:tr>
      <w:tr>
        <w:trPr>
          <w:trHeight w:val="75" w:hRule="atLeast"/>
        </w:trPr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ней,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доля: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4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до 29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самозанятых,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(в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самозанятых)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(в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безработных)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основных направлений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обучение и содействие в трудоустройстве самозанятого,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 и малообеспеченного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содействие развитию предпринимательства;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мобильности трудовых ресурсов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институциональной базы служб занятости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2.1.3. Содействие росту занятости</w:t>
            </w:r>
          </w:p>
        </w:tc>
      </w:tr>
      <w:tr>
        <w:trPr>
          <w:trHeight w:val="75" w:hRule="atLeast"/>
        </w:trPr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содействием, 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вес: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трудоустроенных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направленных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24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социальные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расширение)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дела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этнических репатриантов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числа, обратившихся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мониторинга и прогнозирования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национальном рынке труда; разработка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о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активизации лиц трудоспособного возраста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государственной поддержки лицам,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места, общественные работы, молодежную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практику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мобильности трудовых ресурсов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переселению из СНП с низким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 в СНП с высоким экономическим потенциалом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экономического роста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2.1.4. Управление трудовой миграции</w:t>
            </w:r>
          </w:p>
        </w:tc>
      </w:tr>
      <w:tr>
        <w:trPr>
          <w:trHeight w:val="75" w:hRule="atLeast"/>
        </w:trPr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Квота на привлечение ИРС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5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привлекаемой ИРС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законодательства о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управления трудовой миграцией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предложений по установлению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за выполнением работодателями особых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ИРС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системы учета и информационного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трудовой миграции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1753"/>
        <w:gridCol w:w="1041"/>
        <w:gridCol w:w="1208"/>
        <w:gridCol w:w="1292"/>
        <w:gridCol w:w="1251"/>
        <w:gridCol w:w="1230"/>
        <w:gridCol w:w="1251"/>
        <w:gridCol w:w="1230"/>
        <w:gridCol w:w="1063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Обеспечение реализации трудовых прав граждан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 Защита трудовых прав и улучшение условий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007, 012, 013, 028</w:t>
            </w:r>
          </w:p>
        </w:tc>
      </w:tr>
      <w:tr>
        <w:trPr>
          <w:trHeight w:val="75" w:hRule="atLeast"/>
        </w:trPr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работник-работодатель»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«Жесткость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трудоустройства»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«Гибкость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«Оплата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 и увольнения»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увольнением»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решений»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(коэффициент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несчастных случаев на 1000 чел.)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 Обеспечение безопасности и охраны труда</w:t>
            </w:r>
          </w:p>
        </w:tc>
      </w:tr>
      <w:tr>
        <w:trPr>
          <w:trHeight w:val="255" w:hRule="atLeast"/>
        </w:trPr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 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труда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занятых)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9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женщин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9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мониторинга состояния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 в производственной сфере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и адаптация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стандартов. Содействие их внедрению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реализация (на трехсторонней основе)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сокращению численности работников, в т.ч.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 вредных и опасных условиях производства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методики раннего выявления групп риска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профессиональных заболеваний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Изменение страховых тарифов по классам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Расширение охвата работников системой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работника от 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 (служебных обязанностей)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Социальная поддержка лиц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здоровью, возложенная 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 юридического лица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3.1.2. Предупреждение и пресечение нарушений трудового законодательства</w:t>
            </w:r>
          </w:p>
        </w:tc>
      </w:tr>
      <w:tr>
        <w:trPr>
          <w:trHeight w:val="135" w:hRule="atLeast"/>
        </w:trPr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3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высокого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системе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(СОР)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ГИТ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3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оценки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ежегодному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проверок)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системы оценки рисков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задолженности по заработной плате,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ее ликвидации и предупреждению образования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и выполнение Совместного 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искоренению наихудших форм детского труда на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эффективности информационно-разъяснительной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соблюдению трудового законодательства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3.2.3. Содействие развитию социального партнерства</w:t>
            </w:r>
          </w:p>
        </w:tc>
      </w:tr>
      <w:tr>
        <w:trPr>
          <w:trHeight w:val="75" w:hRule="atLeast"/>
        </w:trPr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(среди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предприятий)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«Программы по достойному труду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 2012 годы»,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социального партнерства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регулирование вопросов в сфере трудовых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содействие эффективной занятости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 и женщин;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развитие трехстороннего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диалога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Стимулирование повышения корпоративной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Генерального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 объединениями 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работников на 2012-2014 гг.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системных организационных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 управления и разрешения конфликтных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в социально-трудовой сфере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мер по соблюдению прав и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в рамках Генерального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 объединениями 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работников на 2012-2014 гг.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акции «Заключите коллективный договор!»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694"/>
        <w:gridCol w:w="933"/>
        <w:gridCol w:w="1134"/>
        <w:gridCol w:w="1134"/>
        <w:gridCol w:w="1134"/>
        <w:gridCol w:w="1134"/>
        <w:gridCol w:w="1134"/>
        <w:gridCol w:w="933"/>
        <w:gridCol w:w="1135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Содействие повышению благосостояния населения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4.1. Повышение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002, 003, 006, 008, 011, 018, 028, 033</w:t>
            </w:r>
          </w:p>
        </w:tc>
      </w:tr>
      <w:tr>
        <w:trPr>
          <w:trHeight w:val="25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населения,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доходами ниже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выплатами, в том числе: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13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НП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4.1.1. Содействие росту заработной платы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Рост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(в 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(МСОТ)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в целом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Динамика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величине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стандарта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новой модели системы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по вопросу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и внедрение новой системы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внедрения новой модели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гражданских служащих, ее корректировка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4.1.2. Обеспечение адекватности социального обеспечения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1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(из Центра)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48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Динамика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ГСП (в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Динамика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ГФСС: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утрате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утере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% к предыдущему году)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НПС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системы пенсионного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 внедрение единых критериев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внесение параметрических изменений в солидарную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 реализация мер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накопительной пенсионной системы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финансовой устойчивости АО «ГФСС»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«ГАК»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администрирования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НПС и системы социального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4.1.3. Усиление адресности оказания социальной помощи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(ГДП)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АСП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АСП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денежными выплатами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Удельный вес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прибывших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квоте в отчетном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Унификация стандартов оказания социальной помощи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Оптимизация видов 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из местного бюджета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предложений по внедрению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для малообеспеченных семей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1521"/>
        <w:gridCol w:w="1171"/>
        <w:gridCol w:w="1237"/>
        <w:gridCol w:w="1259"/>
        <w:gridCol w:w="1259"/>
        <w:gridCol w:w="1237"/>
        <w:gridCol w:w="1194"/>
        <w:gridCol w:w="1194"/>
        <w:gridCol w:w="1174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5.1. Повышение эффективности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009, 010, 016, 017, 021, 028, 032</w:t>
            </w:r>
          </w:p>
        </w:tc>
      </w:tr>
      <w:tr>
        <w:trPr>
          <w:trHeight w:val="25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инвалидов), в том числе: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реабилитация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реабилитация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5.1.1. Развитие системы оказания специальных социальных услуг</w:t>
            </w:r>
          </w:p>
        </w:tc>
      </w:tr>
      <w:tr>
        <w:trPr>
          <w:trHeight w:val="7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дому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(в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нормативных 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оказания специальных социальных услуг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разработки и поэтапное внедрение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оказания специальных социальных услуг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Введение дополнительных видов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предоставляемых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Расширение размещения государственного заказа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 услуг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5.1.2. Развитие системы реабилитации инвалидов</w:t>
            </w:r>
          </w:p>
        </w:tc>
      </w:tr>
      <w:tr>
        <w:trPr>
          <w:trHeight w:val="7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ИПР) по разделам: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принятие Национального Плана действий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долгосрочную перспективу по обеспечению прав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жизни людей с ограниченными возможностями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предстоящей ратификацией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инновационных подходов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медико-социальной экспертизы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(с учетом положений МКФ)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условий для беспрепятственного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других маломобильных групп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жизнеобеспечения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ГУ «Республиканская медико-социальная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стандартов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и слухопротезной помощи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7929"/>
        <w:gridCol w:w="2144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рождаемости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Совершенствование, мониторинг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 государственных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поддержке семей с детьми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доступности и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предоставляемых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семей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 по специальным программам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семей с детьми на базе РГКП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«Социальная помощь: АСП, ГДП» и ее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информационной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 Министерства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ЕИССТС)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содействию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социальной поддержке 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утверждаемым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перечня, обеспечение доступности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 том числе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труда (далее - ГИТ)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населения,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 на базе РГКП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службы содействия занятости (Центры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труда» и ее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труда (далее - ГИТ)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вопросам, вопросам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стандартов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 (далее - РНИИОТ)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«Охрана и безопасность труда» и ее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 населения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Совершенствование, мониторинг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регламентов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назначению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выплат, оказанию социальной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доступности и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социальному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 электронном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Автоматизация процессов назначения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ГЦВП, по вопросам назначения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на базе РГКП «Курсы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в промышленную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«Контакт-центр», АИС «Социальная помощь: ГДП,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АСП», «Е-собес» и их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уязвимых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поддержки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компенсаторных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инвалидов на базе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«Курсы 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«Е-собес» и ее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в промышленную эксплуатацию ЕИССТС,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совершенствование и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Поэтапное внедрение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электронного назначения и 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консультационных услуг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информационно-справочным «Контакт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 реализация Планов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бизнес – процессов,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документов, требуемых от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 услуг по 7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Повышение удельного веса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предоставляемых в электронном формате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частично автоматизированных), до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перечня услуг, оказываемых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 закупок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согласно конкурсной заявке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IT-услугах (2011 г. - 40%, 2012 – 50%, 2013 – 60%, 2014 – 70%, 2015 – 80%);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объеме коробочного (лицензионного)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(2011 г. – 0,2%,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1,2%, 2013 – 2,0%, 2014 – 2,5%, 2015 – 3,1%);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объеме сектора IT-оборудования (2011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1,5%, 2012 – 2,2%, 2013 – 3,1%, 2014 – 4,1%,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4,5%);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возможности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"IT-аутсорсинга" для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Министерству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повышения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департаментов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социальной защите, филиалов ГЦВП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 социально-трудовой сферы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РГКП «Курсы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стандартов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назначения 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РГКП «Государственный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Совершенствование организационной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центр экспериментального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«Республиканская медико-социальная 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комиссия» для разработки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подходов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медико-социальной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информационно-аналитических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проблемам занятости,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 и социальной защите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«Информационный аналитический центр»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Кадровое 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Строгое соблюдение законодательства РК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службе (в т.ч.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 равенства) в отборе и расстановке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управлении служебной карьерой.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Обеспечение трудовой и исполнительской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кадрового потенциала: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обучение, 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и использования казахского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методов и форм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в ходе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стимулирование производительного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использование возможностей ротации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подготовка и использование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кадровой политикой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организаций,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«е-кадры»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его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бесперебойной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административных расходов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мер предупредительного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выявление, анализ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рисков в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персональной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подведомственных ему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эффективное освоение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финансами и активами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Республики Казахстан.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</w:tbl>
    <w:bookmarkStart w:name="z1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7"/>
        <w:gridCol w:w="3270"/>
        <w:gridCol w:w="6833"/>
      </w:tblGrid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своевременного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пособий на детей 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в промышленную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«Социальная помощь: АСП, ГДП».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отрасли деятельности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обучении (в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 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внутрифирменной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персонала).</w:t>
            </w:r>
          </w:p>
        </w:tc>
      </w:tr>
      <w:tr>
        <w:trPr>
          <w:trHeight w:val="27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служб занятости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МСИ,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общенациональной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вакансий и прогнозных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на базе АИС «Рынок труда».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МИНТ, МСХ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 совместных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первого направления «Обучение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самозанятого, безработного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 населения».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Даму»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 совместных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второго направления «Содействие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 на селе».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 совместных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третьего направления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трудовых ресурсов».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партнерства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Соцпартнеры,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трехсторонних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«Достойный труд на 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годы», а также улучшение показателей ГИК.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 должностей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по функциональным блокам;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новой сетки коэффициентов;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оптимизация систем доплат и надбавок;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системы стимулирующих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надбавок, зависящих от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АФК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по пенсионному 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страхованию.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НПС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страхования.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адресности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АДСЖКХ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своевременное и 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выплату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оптимизация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обусловленной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«Социальная помощь: АСП,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ГДП», «Е-собес»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рынка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механизмов,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стабилизацию цен на 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квоты иммиграции оралманов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социальную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этнической миграции.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НПО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инфраструктуры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и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социальными услугами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попавших в трудную жизненную ситуацию.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поэтапное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«Е-собес»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инвалидности.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 (профессиональная,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медицинская, социальная часть)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государственных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инвалидов, обратившихся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занятости содействием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трудоустройстве, согласно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реабилитации инвалида</w:t>
            </w:r>
          </w:p>
        </w:tc>
      </w:tr>
    </w:tbl>
    <w:bookmarkStart w:name="z1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7"/>
        <w:gridCol w:w="4727"/>
        <w:gridCol w:w="5376"/>
      </w:tblGrid>
      <w:tr>
        <w:trPr>
          <w:trHeight w:val="51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возможного риска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риски в социально-трудовой сфере</w:t>
            </w:r>
          </w:p>
        </w:tc>
      </w:tr>
      <w:tr>
        <w:trPr>
          <w:trHeight w:val="198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конъюнктуры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долгосрочной рецессии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экономики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Высвобождение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на предприятиях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 ориентацией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прогнозирования 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объемов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двусторонних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многосторонних соглашений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трудовой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  трудовых ресурсов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семей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имеющих доходы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 и, как следствие,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рождаемости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стране.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Поэтапоное повышение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Усиленние адресности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семьям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рабочую силу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рецессии.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и приостановки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труда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содействию занятости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Нарушения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Нелегальная 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конкуренции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труда. Нарушение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граждан 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мигрантов.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трудовой миграции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Обеспечение реализации трудовых прав граждан</w:t>
            </w:r>
          </w:p>
        </w:tc>
      </w:tr>
      <w:tr>
        <w:trPr>
          <w:trHeight w:val="103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Нарушения трудовых прав работников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плате, несоблюдение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дискриминация при приеме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в оплате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средних 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ГИТ</w:t>
            </w:r>
          </w:p>
        </w:tc>
      </w:tr>
      <w:tr>
        <w:trPr>
          <w:trHeight w:val="103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Нарушения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(несчастные случаи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профзаболевания).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труда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Содействие повышению благосостояния населения</w:t>
            </w:r>
          </w:p>
        </w:tc>
      </w:tr>
      <w:tr>
        <w:trPr>
          <w:trHeight w:val="24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Недостаточный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НПС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пенсионного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Неадекватность пенсионного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обеспечения.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участия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 системе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</w:t>
            </w:r>
          </w:p>
        </w:tc>
      </w:tr>
      <w:tr>
        <w:trPr>
          <w:trHeight w:val="49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покупательной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НПФ 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ГФСС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49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иждивенчества.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повышение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стандартов</w:t>
            </w:r>
          </w:p>
        </w:tc>
      </w:tr>
      <w:tr>
        <w:trPr>
          <w:trHeight w:val="495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Неэффективность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адресности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Формирование эффективной 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 уязвимых категорий населения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Неразвитость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альтернативных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служб</w:t>
            </w:r>
          </w:p>
        </w:tc>
      </w:tr>
    </w:tbl>
    <w:bookmarkStart w:name="z1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523"/>
        <w:gridCol w:w="1073"/>
        <w:gridCol w:w="853"/>
        <w:gridCol w:w="913"/>
        <w:gridCol w:w="1053"/>
        <w:gridCol w:w="813"/>
        <w:gridCol w:w="973"/>
        <w:gridCol w:w="1373"/>
        <w:gridCol w:w="1553"/>
      </w:tblGrid>
      <w:tr>
        <w:trPr>
          <w:trHeight w:val="8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«Формирование государственной 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занятости, социальной защиты населения»</w:t>
            </w:r>
          </w:p>
        </w:tc>
      </w:tr>
      <w:tr>
        <w:trPr>
          <w:trHeight w:val="13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конституционных гарантий в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сфере; реализация единой социальной политики; осуществление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миграцией; государственный надзор за соблюдением трудового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законодательства; контроль качества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услуг; разработка и реализация целевых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социально-трудовой сфере; создание единого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 социально-трудовой сфере; проведение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 труда, занятости, социальной защиты населения</w:t>
            </w:r>
          </w:p>
        </w:tc>
      </w:tr>
      <w:tr>
        <w:trPr>
          <w:trHeight w:val="31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(законы,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внедренных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 выпусков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«Парыз»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(среди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предприятий)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системы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ответственности государственных органов, расширение доступности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государственных услуг, квалификации специалистов системы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государственных служащих согласно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государственной службы, в соответствии с современными экономическими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исследования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2 788 929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3 096 313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3 170 210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3003"/>
        <w:gridCol w:w="1033"/>
        <w:gridCol w:w="1413"/>
        <w:gridCol w:w="1213"/>
        <w:gridCol w:w="1213"/>
        <w:gridCol w:w="1033"/>
        <w:gridCol w:w="1213"/>
        <w:gridCol w:w="1033"/>
        <w:gridCol w:w="1033"/>
      </w:tblGrid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«Социальное обеспечение отдельных категорий граждан»</w:t>
            </w:r>
          </w:p>
        </w:tc>
      </w:tr>
      <w:tr>
        <w:trPr>
          <w:trHeight w:val="66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 пострадавших 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государственной гарантии 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накопительных пенсионных фондах;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получателей государственных базовых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</w:t>
            </w:r>
          </w:p>
        </w:tc>
      </w:tr>
      <w:tr>
        <w:trPr>
          <w:trHeight w:val="15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4 108 518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4 171 943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4 267 659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4 465 194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4 541 577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1 668 900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1 739 853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1 786 209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1 827 760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1 646 564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1 677 165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1 712 115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1 760 134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1 800 092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1 832 103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 пособия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пенсионерам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инвалидам, 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% от ПМ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выплат, надбавок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обратившимся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право на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инвалидности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заболевания,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 в т.ч.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4 иждивенцах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6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 возрасту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Списку № 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567 893 813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983 225 691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1 088 544 937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1 198 384 251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488"/>
        <w:gridCol w:w="8264"/>
      </w:tblGrid>
      <w:tr>
        <w:trPr>
          <w:trHeight w:val="405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«Специальные государственные пособия»</w:t>
            </w:r>
          </w:p>
        </w:tc>
      </w:tr>
      <w:tr>
        <w:trPr>
          <w:trHeight w:val="57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виде выплат специальных государственных пособий</w:t>
            </w:r>
          </w:p>
        </w:tc>
      </w:tr>
      <w:tr>
        <w:trPr>
          <w:trHeight w:val="21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2"/>
        <w:gridCol w:w="1088"/>
        <w:gridCol w:w="1223"/>
        <w:gridCol w:w="1263"/>
        <w:gridCol w:w="1343"/>
        <w:gridCol w:w="1203"/>
        <w:gridCol w:w="1699"/>
        <w:gridCol w:w="1203"/>
        <w:gridCol w:w="1426"/>
      </w:tblGrid>
      <w:tr>
        <w:trPr>
          <w:trHeight w:val="375" w:hRule="atLeast"/>
        </w:trPr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1 159 680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1 193 638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1 293 568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1 343 908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1 376 339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1 384 680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к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ПМ: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1 и 2 группы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3 группы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 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алка» и «Кумис алка»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многодетные семьи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72 398 846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80 278 177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88 077 240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94 734 434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743"/>
        <w:gridCol w:w="853"/>
        <w:gridCol w:w="1013"/>
        <w:gridCol w:w="1033"/>
        <w:gridCol w:w="1293"/>
        <w:gridCol w:w="1393"/>
        <w:gridCol w:w="1313"/>
        <w:gridCol w:w="1113"/>
        <w:gridCol w:w="1113"/>
      </w:tblGrid>
      <w:tr>
        <w:trPr>
          <w:trHeight w:val="1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«Единовременные государственные денежные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отдельным категориям граждан»</w:t>
            </w:r>
          </w:p>
        </w:tc>
      </w:tr>
      <w:tr>
        <w:trPr>
          <w:trHeight w:val="79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вследствие ядерных 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гражданам, признанным жертвами массовых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</w:tr>
      <w:tr>
        <w:trPr>
          <w:trHeight w:val="25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на СИЯП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граждан-жертв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3503"/>
        <w:gridCol w:w="813"/>
        <w:gridCol w:w="973"/>
        <w:gridCol w:w="1053"/>
        <w:gridCol w:w="913"/>
        <w:gridCol w:w="1433"/>
        <w:gridCol w:w="1293"/>
        <w:gridCol w:w="1173"/>
        <w:gridCol w:w="1073"/>
      </w:tblGrid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«Государственные пособия семьям, имеющим детей»</w:t>
            </w:r>
          </w:p>
        </w:tc>
      </w:tr>
      <w:tr>
        <w:trPr>
          <w:trHeight w:val="4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 инвалидов</w:t>
            </w:r>
          </w:p>
        </w:tc>
      </w:tr>
      <w:tr>
        <w:trPr>
          <w:trHeight w:val="15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577 560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577 528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рождение ребенка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391 836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 за 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опекунов,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рождением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и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- инвалидов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рождение ребенка: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1,2,3 ребенка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4-го и более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семье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55 211 568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58 824 678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63 448 415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68 137 622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523"/>
        <w:gridCol w:w="953"/>
        <w:gridCol w:w="1313"/>
        <w:gridCol w:w="1213"/>
        <w:gridCol w:w="1213"/>
        <w:gridCol w:w="1133"/>
        <w:gridCol w:w="1093"/>
        <w:gridCol w:w="1193"/>
        <w:gridCol w:w="1413"/>
      </w:tblGrid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11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единовременного пособия семьям оралманов, возмещение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проезду к постоянному месту жительства и провозу имущества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скота), выделение средств для приобретения жилья</w:t>
            </w:r>
          </w:p>
        </w:tc>
      </w:tr>
      <w:tr>
        <w:trPr>
          <w:trHeight w:val="42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семей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5 325 816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9 200 239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9 842 778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10 530 805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863"/>
        <w:gridCol w:w="913"/>
        <w:gridCol w:w="1313"/>
        <w:gridCol w:w="1213"/>
        <w:gridCol w:w="1173"/>
        <w:gridCol w:w="1113"/>
        <w:gridCol w:w="1073"/>
        <w:gridCol w:w="1173"/>
        <w:gridCol w:w="1413"/>
      </w:tblGrid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6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рынка труда</w:t>
            </w:r>
          </w:p>
        </w:tc>
      </w:tr>
      <w:tr>
        <w:trPr>
          <w:trHeight w:val="285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заданий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 том числе: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(нормативов)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профзаболеваний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Нефтегазовая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керамики, фарфора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фаянсовых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энергетика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отрасль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методики, 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и нормы)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неудовлетворительных,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983"/>
        <w:gridCol w:w="853"/>
        <w:gridCol w:w="1033"/>
        <w:gridCol w:w="1033"/>
        <w:gridCol w:w="1053"/>
        <w:gridCol w:w="1093"/>
        <w:gridCol w:w="1233"/>
        <w:gridCol w:w="1373"/>
        <w:gridCol w:w="1393"/>
      </w:tblGrid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«Услуги по информационно-аналитическому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 и бедности»</w:t>
            </w:r>
          </w:p>
        </w:tc>
      </w:tr>
      <w:tr>
        <w:trPr>
          <w:trHeight w:val="4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обработка информации по бедности</w:t>
            </w:r>
          </w:p>
        </w:tc>
      </w:tr>
      <w:tr>
        <w:trPr>
          <w:trHeight w:val="31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бедности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информация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923"/>
        <w:gridCol w:w="1053"/>
        <w:gridCol w:w="973"/>
        <w:gridCol w:w="1113"/>
        <w:gridCol w:w="973"/>
        <w:gridCol w:w="993"/>
        <w:gridCol w:w="1293"/>
        <w:gridCol w:w="1273"/>
        <w:gridCol w:w="1433"/>
      </w:tblGrid>
      <w:tr>
        <w:trPr>
          <w:trHeight w:val="8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социального обеспечения»</w:t>
            </w:r>
          </w:p>
        </w:tc>
      </w:tr>
      <w:tr>
        <w:trPr>
          <w:trHeight w:val="8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163"/>
        <w:gridCol w:w="1033"/>
        <w:gridCol w:w="873"/>
        <w:gridCol w:w="1093"/>
        <w:gridCol w:w="953"/>
        <w:gridCol w:w="993"/>
        <w:gridCol w:w="1213"/>
        <w:gridCol w:w="1233"/>
        <w:gridCol w:w="149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 на 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услуг»</w:t>
            </w:r>
          </w:p>
        </w:tc>
      </w:tr>
      <w:tr>
        <w:trPr>
          <w:trHeight w:val="40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социальных услуг лицам,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учреждениях, центрах социальной адаптации для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на оказание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24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 услугами в: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общего типа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 услугами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человека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общего типа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день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2 348 587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детских и взрослых МСУ переданы в МИО трансфертами общего характера с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963"/>
        <w:gridCol w:w="1353"/>
        <w:gridCol w:w="993"/>
        <w:gridCol w:w="1073"/>
        <w:gridCol w:w="1093"/>
        <w:gridCol w:w="1053"/>
        <w:gridCol w:w="853"/>
        <w:gridCol w:w="1273"/>
        <w:gridCol w:w="1533"/>
      </w:tblGrid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«Услуги по обеспечению выплаты пенсий и пособий»</w:t>
            </w:r>
          </w:p>
        </w:tc>
      </w:tr>
      <w:tr>
        <w:trPr>
          <w:trHeight w:val="6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и полной выплаты пенсий и пособий</w:t>
            </w:r>
          </w:p>
        </w:tc>
      </w:tr>
      <w:tr>
        <w:trPr>
          <w:trHeight w:val="21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имеющим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5 817 655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5 905 009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6 166 155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6 307 878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6 433 675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6 519 423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ГФСС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пособий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ГЦВП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потоков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16 724 528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19 315 457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20 545 792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21 831 174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883"/>
        <w:gridCol w:w="1073"/>
        <w:gridCol w:w="1333"/>
        <w:gridCol w:w="1153"/>
        <w:gridCol w:w="1013"/>
        <w:gridCol w:w="1053"/>
        <w:gridCol w:w="1193"/>
        <w:gridCol w:w="1153"/>
        <w:gridCol w:w="1193"/>
      </w:tblGrid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«Создание единой информационной системы социально-трудовой сферы»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 программой «Е-Правительство»</w:t>
            </w:r>
          </w:p>
        </w:tc>
      </w:tr>
      <w:tr>
        <w:trPr>
          <w:trHeight w:val="30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543"/>
        <w:gridCol w:w="973"/>
        <w:gridCol w:w="1213"/>
        <w:gridCol w:w="1333"/>
        <w:gridCol w:w="1253"/>
        <w:gridCol w:w="1213"/>
        <w:gridCol w:w="1213"/>
        <w:gridCol w:w="1213"/>
        <w:gridCol w:w="1093"/>
      </w:tblGrid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возложенное судом на государство,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юридического лица»</w:t>
            </w:r>
          </w:p>
        </w:tc>
      </w:tr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прекращения деятельности юридического лица</w:t>
            </w:r>
          </w:p>
        </w:tc>
      </w:tr>
      <w:tr>
        <w:trPr>
          <w:trHeight w:val="28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 выплата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70-летнего возраста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выплаты: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70-летнего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643"/>
        <w:gridCol w:w="1213"/>
        <w:gridCol w:w="1033"/>
        <w:gridCol w:w="1033"/>
        <w:gridCol w:w="1213"/>
        <w:gridCol w:w="1213"/>
        <w:gridCol w:w="1213"/>
        <w:gridCol w:w="1213"/>
        <w:gridCol w:w="1093"/>
      </w:tblGrid>
      <w:tr>
        <w:trPr>
          <w:trHeight w:val="5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«Капитальные расходы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Казахстан»</w:t>
            </w:r>
          </w:p>
        </w:tc>
      </w:tr>
      <w:tr>
        <w:trPr>
          <w:trHeight w:val="7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 и территориальных органов министерства</w:t>
            </w:r>
          </w:p>
        </w:tc>
      </w:tr>
      <w:tr>
        <w:trPr>
          <w:trHeight w:val="34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оргтехники,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зданиях, помещениях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153 843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43"/>
        <w:gridCol w:w="1253"/>
        <w:gridCol w:w="1093"/>
        <w:gridCol w:w="1213"/>
        <w:gridCol w:w="1033"/>
        <w:gridCol w:w="1033"/>
        <w:gridCol w:w="1213"/>
        <w:gridCol w:w="1213"/>
        <w:gridCol w:w="1213"/>
      </w:tblGrid>
      <w:tr>
        <w:trPr>
          <w:trHeight w:val="2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 «Капитальные расходы 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республиканском уровне»</w:t>
            </w:r>
          </w:p>
        </w:tc>
      </w:tr>
      <w:tr>
        <w:trPr>
          <w:trHeight w:val="6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подведомственных организаций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</w:t>
            </w:r>
          </w:p>
        </w:tc>
      </w:tr>
      <w:tr>
        <w:trPr>
          <w:trHeight w:val="24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574 090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209 181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563"/>
        <w:gridCol w:w="1733"/>
        <w:gridCol w:w="1193"/>
        <w:gridCol w:w="1093"/>
        <w:gridCol w:w="1013"/>
        <w:gridCol w:w="1073"/>
        <w:gridCol w:w="1013"/>
        <w:gridCol w:w="1173"/>
        <w:gridCol w:w="1193"/>
      </w:tblGrid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«Услуги по методологическому 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протезно-ортопедической помощи»</w:t>
            </w:r>
          </w:p>
        </w:tc>
      </w:tr>
      <w:tr>
        <w:trPr>
          <w:trHeight w:val="6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сложными, особо сложными и атипичными формами увечья</w:t>
            </w:r>
          </w:p>
        </w:tc>
      </w:tr>
      <w:tr>
        <w:trPr>
          <w:trHeight w:val="21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сложными и атипичными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увечья,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протезирование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новые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комплектующие изделия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протезам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сложного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протезирования,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Разработка,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изготавливаемых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новейшим технологиям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протезирования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563"/>
        <w:gridCol w:w="933"/>
        <w:gridCol w:w="1013"/>
        <w:gridCol w:w="1033"/>
        <w:gridCol w:w="1053"/>
        <w:gridCol w:w="993"/>
        <w:gridCol w:w="893"/>
        <w:gridCol w:w="1253"/>
        <w:gridCol w:w="1313"/>
      </w:tblGrid>
      <w:tr>
        <w:trPr>
          <w:trHeight w:val="8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«Совершенствование системы 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ограниченными возможностями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инвалидов и развитие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услуг»</w:t>
            </w:r>
          </w:p>
        </w:tc>
      </w:tr>
      <w:tr>
        <w:trPr>
          <w:trHeight w:val="7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возможностями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 специальных социальных услуг</w:t>
            </w:r>
          </w:p>
        </w:tc>
      </w:tr>
      <w:tr>
        <w:trPr>
          <w:trHeight w:val="40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передач,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публикаций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материалов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улучшения качества жизни людей с ограниченными возможностями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563"/>
        <w:gridCol w:w="933"/>
        <w:gridCol w:w="1013"/>
        <w:gridCol w:w="1033"/>
        <w:gridCol w:w="1053"/>
        <w:gridCol w:w="993"/>
        <w:gridCol w:w="893"/>
        <w:gridCol w:w="1253"/>
        <w:gridCol w:w="1313"/>
      </w:tblGrid>
      <w:tr>
        <w:trPr>
          <w:trHeight w:val="8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 «Увеличение уставного капитала АО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аннуитетная компания»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</w:tr>
      <w:tr>
        <w:trPr>
          <w:trHeight w:val="40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достаточности маржи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адекватными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"Компания 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 страхования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одной акции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343"/>
        <w:gridCol w:w="973"/>
        <w:gridCol w:w="973"/>
        <w:gridCol w:w="1033"/>
        <w:gridCol w:w="1213"/>
        <w:gridCol w:w="1133"/>
        <w:gridCol w:w="1193"/>
        <w:gridCol w:w="1153"/>
        <w:gridCol w:w="1193"/>
      </w:tblGrid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 «Кредитование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на содействие развитию 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 2020»</w:t>
            </w:r>
          </w:p>
        </w:tc>
      </w:tr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содействие развитию 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занятости 2020</w:t>
            </w:r>
          </w:p>
        </w:tc>
      </w:tr>
      <w:tr>
        <w:trPr>
          <w:trHeight w:val="39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микрокредитной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303"/>
        <w:gridCol w:w="933"/>
        <w:gridCol w:w="1193"/>
        <w:gridCol w:w="1153"/>
        <w:gridCol w:w="993"/>
        <w:gridCol w:w="933"/>
        <w:gridCol w:w="953"/>
        <w:gridCol w:w="1073"/>
        <w:gridCol w:w="1333"/>
      </w:tblGrid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«Совершенствование системы социальной защиты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 с международными стандартами»</w:t>
            </w:r>
          </w:p>
        </w:tc>
      </w:tr>
      <w:tr>
        <w:trPr>
          <w:trHeight w:val="3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</w:p>
        </w:tc>
      </w:tr>
      <w:tr>
        <w:trPr>
          <w:trHeight w:val="405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передач,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публикаций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материалов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улучшения качества жизни людей с ограниченными возможностями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043"/>
        <w:gridCol w:w="1033"/>
        <w:gridCol w:w="1213"/>
        <w:gridCol w:w="1213"/>
        <w:gridCol w:w="1033"/>
        <w:gridCol w:w="1033"/>
        <w:gridCol w:w="1033"/>
        <w:gridCol w:w="1213"/>
        <w:gridCol w:w="123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 «Услуги по повышению квалификации кадров социально-трудовой сферы»</w:t>
            </w:r>
          </w:p>
        </w:tc>
      </w:tr>
      <w:tr>
        <w:trPr>
          <w:trHeight w:val="5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повышению квалификации работников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социально-трудовой сфере</w:t>
            </w:r>
          </w:p>
        </w:tc>
      </w:tr>
      <w:tr>
        <w:trPr>
          <w:trHeight w:val="57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723"/>
        <w:gridCol w:w="1193"/>
        <w:gridCol w:w="1033"/>
        <w:gridCol w:w="1213"/>
        <w:gridCol w:w="1213"/>
        <w:gridCol w:w="1213"/>
        <w:gridCol w:w="1213"/>
        <w:gridCol w:w="913"/>
        <w:gridCol w:w="953"/>
      </w:tblGrid>
      <w:tr>
        <w:trPr>
          <w:trHeight w:val="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 «Реализация Национального плана действий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и улучшению качества жизни инвалидов»</w:t>
            </w:r>
          </w:p>
        </w:tc>
      </w:tr>
      <w:tr>
        <w:trPr>
          <w:trHeight w:val="5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объектов в основных сферах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пилотных проектов по созданию безбарьерной среды в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оказывающих услуги ГЦВП, 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информации путем субтитрирования,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сурдопереводов;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на разработку классификаций и критериев,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медико-социальной экспертизы с учетом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классификации функционирования,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здоровья</w:t>
            </w:r>
          </w:p>
        </w:tc>
      </w:tr>
      <w:tr>
        <w:trPr>
          <w:trHeight w:val="28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зданий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жилья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инфраструктуры: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 по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высадке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дорожные 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пешеходные переходы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звуковыми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световыми устройствами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специальные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"инва-такси"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информации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383"/>
        <w:gridCol w:w="753"/>
        <w:gridCol w:w="1293"/>
        <w:gridCol w:w="1293"/>
        <w:gridCol w:w="1193"/>
        <w:gridCol w:w="1253"/>
        <w:gridCol w:w="1073"/>
        <w:gridCol w:w="933"/>
        <w:gridCol w:w="1133"/>
      </w:tblGrid>
      <w:tr>
        <w:trPr>
          <w:trHeight w:val="3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 «Развитие автоматизированной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центра по выплате пенсий и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социально-трудовой сферы с оказанием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«Государственной программы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информационной инфраструктуры РК в 2011-2013 годах»</w:t>
            </w:r>
          </w:p>
        </w:tc>
      </w:tr>
      <w:tr>
        <w:trPr>
          <w:trHeight w:val="5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ГЦВП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социально-трудовой сферы с оказанием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57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АИС ГЦВП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 СТС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выплаты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3923"/>
        <w:gridCol w:w="833"/>
        <w:gridCol w:w="893"/>
        <w:gridCol w:w="953"/>
        <w:gridCol w:w="1033"/>
        <w:gridCol w:w="1073"/>
        <w:gridCol w:w="1173"/>
        <w:gridCol w:w="1073"/>
        <w:gridCol w:w="1353"/>
      </w:tblGrid>
      <w:tr>
        <w:trPr>
          <w:trHeight w:val="3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 «Реализация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2020»</w:t>
            </w:r>
          </w:p>
        </w:tc>
      </w:tr>
      <w:tr>
        <w:trPr>
          <w:trHeight w:val="4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обучение и содействие в трудоустройстве самозанятого, безработного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содействие развитию предпринимательства на селе;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мобильности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институциональная организация</w:t>
            </w:r>
          </w:p>
        </w:tc>
      </w:tr>
      <w:tr>
        <w:trPr>
          <w:trHeight w:val="39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участников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и 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 селе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из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 потенциалом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центров занятости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обратившимся в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41 045 894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58 199 657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58 527 152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767"/>
        <w:gridCol w:w="1034"/>
        <w:gridCol w:w="996"/>
        <w:gridCol w:w="1096"/>
        <w:gridCol w:w="1133"/>
        <w:gridCol w:w="1153"/>
        <w:gridCol w:w="1054"/>
        <w:gridCol w:w="1134"/>
        <w:gridCol w:w="88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695 930 817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928 738 125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1 069 966 261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1 209 804 878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1 349 356 124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1 479 081 140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1.Текущие бюджетные программы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689 907 366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921 563 768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1 063 298 533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1 199 173 808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1 335 889 830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1 465 716 306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2 788 929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3 152 337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3 096 313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3 170 210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567 893 813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983 225 691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1 088 544 937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1 198 384 251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72 398 846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80 278 177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88 077 240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94 734 434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55 211 568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58 824 678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63 448 415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68 137 622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5 325 816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9 200 239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9 842 778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10 530 805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бедности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2 348 587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 пособий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16 724 528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19 315 457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20 545 792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21 831 174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здоровью, возложенное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574 090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209 181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018*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020*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размера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025*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увеличение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оралманов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029*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030*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размера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Москве, Астане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ним;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военную службу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гг.» или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 победу над Японией»,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101 632 260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текущие расходы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1 478 500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41 045 894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58 199 657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58 527 152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7 174 357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6 667 728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10 631 070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13 466 294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аннуитетная компания»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годы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оказанием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«Государственной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2011-2013 годах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и расходы по ней переданы в базу расходов местных бюджетов при определении объемов трансфертов общего характера на 2011 – 2013 годы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