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b69a" w14:textId="052b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порядке обмена информацией, связанной с уплатой ввозных таможенных пошлин</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2011 года № 1687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Протокола о порядке обмена информацией, связанной с уплатой ввозных таможенных пошлин.</w:t>
      </w:r>
      <w:r>
        <w:br/>
      </w:r>
      <w:r>
        <w:rPr>
          <w:rFonts w:ascii="Times New Roman"/>
          <w:b w:val="false"/>
          <w:i w:val="false"/>
          <w:color w:val="000000"/>
          <w:sz w:val="28"/>
        </w:rPr>
        <w:t>
</w:t>
      </w:r>
      <w:r>
        <w:rPr>
          <w:rFonts w:ascii="Times New Roman"/>
          <w:b w:val="false"/>
          <w:i w:val="false"/>
          <w:color w:val="000000"/>
          <w:sz w:val="28"/>
        </w:rPr>
        <w:t>
      2. Подписать Протокол о порядке обмена информацией, связанной с уплатой ввозных таможенных пошлин.</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2011 года № 1687</w:t>
      </w:r>
    </w:p>
    <w:bookmarkEnd w:id="1"/>
    <w:bookmarkStart w:name="z6" w:id="2"/>
    <w:p>
      <w:pPr>
        <w:spacing w:after="0"/>
        <w:ind w:left="0"/>
        <w:jc w:val="both"/>
      </w:pPr>
      <w:r>
        <w:rPr>
          <w:rFonts w:ascii="Times New Roman"/>
          <w:b w:val="false"/>
          <w:i w:val="false"/>
          <w:color w:val="000000"/>
          <w:sz w:val="28"/>
        </w:rPr>
        <w:t xml:space="preserve">
проект      </w:t>
      </w:r>
    </w:p>
    <w:bookmarkEnd w:id="2"/>
    <w:bookmarkStart w:name="z7" w:id="3"/>
    <w:p>
      <w:pPr>
        <w:spacing w:after="0"/>
        <w:ind w:left="0"/>
        <w:jc w:val="left"/>
      </w:pPr>
      <w:r>
        <w:rPr>
          <w:rFonts w:ascii="Times New Roman"/>
          <w:b/>
          <w:i w:val="false"/>
          <w:color w:val="000000"/>
        </w:rPr>
        <w:t xml:space="preserve"> 
ПРОТОКОЛ</w:t>
      </w:r>
      <w:r>
        <w:br/>
      </w:r>
      <w:r>
        <w:rPr>
          <w:rFonts w:ascii="Times New Roman"/>
          <w:b/>
          <w:i w:val="false"/>
          <w:color w:val="000000"/>
        </w:rPr>
        <w:t>
о порядке обмена информацией,</w:t>
      </w:r>
      <w:r>
        <w:br/>
      </w:r>
      <w:r>
        <w:rPr>
          <w:rFonts w:ascii="Times New Roman"/>
          <w:b/>
          <w:i w:val="false"/>
          <w:color w:val="000000"/>
        </w:rPr>
        <w:t>
связанной с уплатой ввозных таможенных пошлин</w:t>
      </w:r>
    </w:p>
    <w:bookmarkEnd w:id="3"/>
    <w:p>
      <w:pPr>
        <w:spacing w:after="0"/>
        <w:ind w:left="0"/>
        <w:jc w:val="both"/>
      </w:pPr>
      <w:r>
        <w:rPr>
          <w:rFonts w:ascii="Times New Roman"/>
          <w:b w:val="false"/>
          <w:i w:val="false"/>
          <w:color w:val="ff0000"/>
          <w:sz w:val="28"/>
        </w:rPr>
        <w:t>(Вступил в силу 26 мая 2013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2013 г., № 3, ст. 32)</w:t>
      </w:r>
    </w:p>
    <w:p>
      <w:pPr>
        <w:spacing w:after="0"/>
        <w:ind w:left="0"/>
        <w:jc w:val="both"/>
      </w:pPr>
      <w:r>
        <w:rPr>
          <w:rFonts w:ascii="Times New Roman"/>
          <w:b w:val="false"/>
          <w:i w:val="false"/>
          <w:color w:val="000000"/>
          <w:sz w:val="28"/>
        </w:rPr>
        <w:t>      Правительства государств – членов Таможенного союза в рамках ЕврАзЭС, именуемые в дальнейшем Стороны,</w:t>
      </w:r>
      <w:r>
        <w:br/>
      </w:r>
      <w:r>
        <w:rPr>
          <w:rFonts w:ascii="Times New Roman"/>
          <w:b w:val="false"/>
          <w:i w:val="false"/>
          <w:color w:val="000000"/>
          <w:sz w:val="28"/>
        </w:rPr>
        <w:t>
      руководствуясь пунктом 5 статьи 8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 (далее – Соглашение от 20 мая 2010 года),</w:t>
      </w:r>
      <w:r>
        <w:br/>
      </w:r>
      <w:r>
        <w:rPr>
          <w:rFonts w:ascii="Times New Roman"/>
          <w:b w:val="false"/>
          <w:i w:val="false"/>
          <w:color w:val="000000"/>
          <w:sz w:val="28"/>
        </w:rPr>
        <w:t>
      исходя из взаимной заинтересованности в обеспечении контроля своевременности и полноты поступлений ввозных таможенных пошлин (иных пошлин, налогов и сборов, имеющих эквивалентное действие) в бюджеты государств – членов Таможенного союза,</w:t>
      </w:r>
      <w:r>
        <w:br/>
      </w:r>
      <w:r>
        <w:rPr>
          <w:rFonts w:ascii="Times New Roman"/>
          <w:b w:val="false"/>
          <w:i w:val="false"/>
          <w:color w:val="000000"/>
          <w:sz w:val="28"/>
        </w:rPr>
        <w:t>
      с целью реализации положений Соглашения от 20 мая 2010 года и организации порядка обмена информацией, связанной с уплатой ввозных таможенных пошлин,</w:t>
      </w:r>
      <w:r>
        <w:br/>
      </w:r>
      <w:r>
        <w:rPr>
          <w:rFonts w:ascii="Times New Roman"/>
          <w:b w:val="false"/>
          <w:i w:val="false"/>
          <w:color w:val="000000"/>
          <w:sz w:val="28"/>
        </w:rPr>
        <w:t>
      договорились о нижеследующем:</w:t>
      </w:r>
    </w:p>
    <w:bookmarkStart w:name="z8" w:id="4"/>
    <w:p>
      <w:pPr>
        <w:spacing w:after="0"/>
        <w:ind w:left="0"/>
        <w:jc w:val="left"/>
      </w:pPr>
      <w:r>
        <w:rPr>
          <w:rFonts w:ascii="Times New Roman"/>
          <w:b/>
          <w:i w:val="false"/>
          <w:color w:val="000000"/>
        </w:rPr>
        <w:t xml:space="preserve"> 
Статья 1</w:t>
      </w:r>
    </w:p>
    <w:bookmarkEnd w:id="4"/>
    <w:p>
      <w:pPr>
        <w:spacing w:after="0"/>
        <w:ind w:left="0"/>
        <w:jc w:val="both"/>
      </w:pPr>
      <w:r>
        <w:rPr>
          <w:rFonts w:ascii="Times New Roman"/>
          <w:b w:val="false"/>
          <w:i w:val="false"/>
          <w:color w:val="000000"/>
          <w:sz w:val="28"/>
        </w:rPr>
        <w:t>      В настоящем Протоколе используются следующие термины:</w:t>
      </w:r>
      <w:r>
        <w:br/>
      </w:r>
      <w:r>
        <w:rPr>
          <w:rFonts w:ascii="Times New Roman"/>
          <w:b w:val="false"/>
          <w:i w:val="false"/>
          <w:color w:val="000000"/>
          <w:sz w:val="28"/>
        </w:rPr>
        <w:t>
      «Центральные таможенные органы государств – членов Таможенного союза» - Государственный таможенный комитет Республики Беларусь, Комитет таможенного контроля Министерства финансов Республики Казахстан и Федеральная таможенная служба (Российская Федерация);</w:t>
      </w:r>
      <w:r>
        <w:br/>
      </w:r>
      <w:r>
        <w:rPr>
          <w:rFonts w:ascii="Times New Roman"/>
          <w:b w:val="false"/>
          <w:i w:val="false"/>
          <w:color w:val="000000"/>
          <w:sz w:val="28"/>
        </w:rPr>
        <w:t>
      «Правила ведения учета ввозных таможенных пошлин» - Правила о единых принципах ведения учета ввозных таможенных пошлин по методу начисления, одобренные решением Комиссии Таможенного союза от 8 декабря 2010 года № 493;</w:t>
      </w:r>
      <w:r>
        <w:br/>
      </w:r>
      <w:r>
        <w:rPr>
          <w:rFonts w:ascii="Times New Roman"/>
          <w:b w:val="false"/>
          <w:i w:val="false"/>
          <w:color w:val="000000"/>
          <w:sz w:val="28"/>
        </w:rPr>
        <w:t>
      «Технические условия обмена информацией» - документ, который определяет структуру и формат сведений, которыми обмениваются центральные таможенные органы государств – членов Таможенного союза, регламент обмена, сроки и способы обмена, а также лиц, ответственных за подготовку, передачу и получение информации.</w:t>
      </w:r>
    </w:p>
    <w:bookmarkStart w:name="z9" w:id="5"/>
    <w:p>
      <w:pPr>
        <w:spacing w:after="0"/>
        <w:ind w:left="0"/>
        <w:jc w:val="left"/>
      </w:pPr>
      <w:r>
        <w:rPr>
          <w:rFonts w:ascii="Times New Roman"/>
          <w:b/>
          <w:i w:val="false"/>
          <w:color w:val="000000"/>
        </w:rPr>
        <w:t xml:space="preserve"> 
Статья 2</w:t>
      </w:r>
    </w:p>
    <w:bookmarkEnd w:id="5"/>
    <w:p>
      <w:pPr>
        <w:spacing w:after="0"/>
        <w:ind w:left="0"/>
        <w:jc w:val="both"/>
      </w:pPr>
      <w:r>
        <w:rPr>
          <w:rFonts w:ascii="Times New Roman"/>
          <w:b w:val="false"/>
          <w:i w:val="false"/>
          <w:color w:val="000000"/>
          <w:sz w:val="28"/>
        </w:rPr>
        <w:t>      В рамках настоящего Протокола центральные таможенные органы государств – членов Таможенного союза представляют друг другу, а также в Секретариат Комиссии Таможенного союза на регулярной основе в сроки, установленные Техническими условиями обмена информацией, информацию, не относящуюся к сведениям, составляющим государственную тайну (относящимся к государственным секретам). Такая информация может формироваться из следующих имеющихся источников:</w:t>
      </w:r>
      <w:r>
        <w:br/>
      </w:r>
      <w:r>
        <w:rPr>
          <w:rFonts w:ascii="Times New Roman"/>
          <w:b w:val="false"/>
          <w:i w:val="false"/>
          <w:color w:val="000000"/>
          <w:sz w:val="28"/>
        </w:rPr>
        <w:t>
      баз данных электронных копий деклараций на товары, оформленных таможенными органами государств – членов Таможенного союза, по согласованным позициям, предусмотренным приложением 1 Соглашения об организации обмена информацией для реализации аналитических и контрольных функций таможенных органов государств – членов Таможенного союза;</w:t>
      </w:r>
      <w:r>
        <w:br/>
      </w:r>
      <w:r>
        <w:rPr>
          <w:rFonts w:ascii="Times New Roman"/>
          <w:b w:val="false"/>
          <w:i w:val="false"/>
          <w:color w:val="000000"/>
          <w:sz w:val="28"/>
        </w:rPr>
        <w:t>
      баз данных электронных копий таможенных приходных ордеров, оформленных таможенными органами государств – членов Таможенного союза по согласованным позициям, предусмотренным приложением 2 Соглашения об организации обмена информацией для реализации аналитических и контрольных функций таможенных органов государств – членов Таможенного союза;</w:t>
      </w:r>
      <w:r>
        <w:br/>
      </w:r>
      <w:r>
        <w:rPr>
          <w:rFonts w:ascii="Times New Roman"/>
          <w:b w:val="false"/>
          <w:i w:val="false"/>
          <w:color w:val="000000"/>
          <w:sz w:val="28"/>
        </w:rPr>
        <w:t>
      баз данных лицевых счетов, реестров и других документов, содержащих сведения о фактически уплаченных и перечисленных в бюджет суммах ввозных таможенных пошлин, оформленных таможенными органами государств – членов Таможенного союза в соответствии с Правилами ведения учета ввозных таможенных пошлин.</w:t>
      </w:r>
    </w:p>
    <w:bookmarkStart w:name="z10" w:id="6"/>
    <w:p>
      <w:pPr>
        <w:spacing w:after="0"/>
        <w:ind w:left="0"/>
        <w:jc w:val="left"/>
      </w:pPr>
      <w:r>
        <w:rPr>
          <w:rFonts w:ascii="Times New Roman"/>
          <w:b/>
          <w:i w:val="false"/>
          <w:color w:val="000000"/>
        </w:rPr>
        <w:t xml:space="preserve"> 
Статья 3</w:t>
      </w:r>
    </w:p>
    <w:bookmarkEnd w:id="6"/>
    <w:p>
      <w:pPr>
        <w:spacing w:after="0"/>
        <w:ind w:left="0"/>
        <w:jc w:val="both"/>
      </w:pPr>
      <w:r>
        <w:rPr>
          <w:rFonts w:ascii="Times New Roman"/>
          <w:b w:val="false"/>
          <w:i w:val="false"/>
          <w:color w:val="000000"/>
          <w:sz w:val="28"/>
        </w:rPr>
        <w:t>      Предоставление информации, предусмотренной статьей 2 настоящего Протокола, осуществляется в электронной форме на уровне центральных таможенных органов государств – членов Таможенного союза.</w:t>
      </w:r>
      <w:r>
        <w:br/>
      </w:r>
      <w:r>
        <w:rPr>
          <w:rFonts w:ascii="Times New Roman"/>
          <w:b w:val="false"/>
          <w:i w:val="false"/>
          <w:color w:val="000000"/>
          <w:sz w:val="28"/>
        </w:rPr>
        <w:t>
      Обмен информацией осуществляется в соответствии с Техническими условиями обмена информацией.</w:t>
      </w:r>
      <w:r>
        <w:br/>
      </w:r>
      <w:r>
        <w:rPr>
          <w:rFonts w:ascii="Times New Roman"/>
          <w:b w:val="false"/>
          <w:i w:val="false"/>
          <w:color w:val="000000"/>
          <w:sz w:val="28"/>
        </w:rPr>
        <w:t>
      Информация представляется на русском языке. По отдельным позициям информации, перечисленной в статье 2 настоящего Протокола, допускается использование латинского алфавита.</w:t>
      </w:r>
      <w:r>
        <w:br/>
      </w:r>
      <w:r>
        <w:rPr>
          <w:rFonts w:ascii="Times New Roman"/>
          <w:b w:val="false"/>
          <w:i w:val="false"/>
          <w:color w:val="000000"/>
          <w:sz w:val="28"/>
        </w:rPr>
        <w:t>
      Информационный обмен осуществляется на безвозмездной основе.</w:t>
      </w:r>
    </w:p>
    <w:bookmarkStart w:name="z11" w:id="7"/>
    <w:p>
      <w:pPr>
        <w:spacing w:after="0"/>
        <w:ind w:left="0"/>
        <w:jc w:val="left"/>
      </w:pPr>
      <w:r>
        <w:rPr>
          <w:rFonts w:ascii="Times New Roman"/>
          <w:b/>
          <w:i w:val="false"/>
          <w:color w:val="000000"/>
        </w:rPr>
        <w:t xml:space="preserve"> 
Статья 4</w:t>
      </w:r>
    </w:p>
    <w:bookmarkEnd w:id="7"/>
    <w:p>
      <w:pPr>
        <w:spacing w:after="0"/>
        <w:ind w:left="0"/>
        <w:jc w:val="both"/>
      </w:pPr>
      <w:r>
        <w:rPr>
          <w:rFonts w:ascii="Times New Roman"/>
          <w:b w:val="false"/>
          <w:i w:val="false"/>
          <w:color w:val="000000"/>
          <w:sz w:val="28"/>
        </w:rPr>
        <w:t>      Для реализации положений статьи 3 настоящего Протокола центральные таможенные органы разрабатывают и утверждают Технические условия обмена информацией.</w:t>
      </w:r>
      <w:r>
        <w:br/>
      </w:r>
      <w:r>
        <w:rPr>
          <w:rFonts w:ascii="Times New Roman"/>
          <w:b w:val="false"/>
          <w:i w:val="false"/>
          <w:color w:val="000000"/>
          <w:sz w:val="28"/>
        </w:rPr>
        <w:t>
      Обмен информацией в электронной форме между центральными таможенными органами государств – членов Таможенного союза, а также ее представление в Секретариат Комиссии Таможенного союза осуществляется после обеспечения их технической готовности, о чем центральные таможенные органы государств – членов Таможенного союза письменно уведомляют друг друга, а также Секретариат Комиссии Таможенного союза.</w:t>
      </w:r>
      <w:r>
        <w:br/>
      </w:r>
      <w:r>
        <w:rPr>
          <w:rFonts w:ascii="Times New Roman"/>
          <w:b w:val="false"/>
          <w:i w:val="false"/>
          <w:color w:val="000000"/>
          <w:sz w:val="28"/>
        </w:rPr>
        <w:t>
      Изменения и дополнения в Технические условия обмена информацией могут быть внесены по согласованному решению руководителей центральных таможенных органов государств – членов Таможенного союза.</w:t>
      </w:r>
      <w:r>
        <w:br/>
      </w:r>
      <w:r>
        <w:rPr>
          <w:rFonts w:ascii="Times New Roman"/>
          <w:b w:val="false"/>
          <w:i w:val="false"/>
          <w:color w:val="000000"/>
          <w:sz w:val="28"/>
        </w:rPr>
        <w:t>
      До утверждения Технических условий обмена информацией центральные таможенные органы государств – членов Таможенного союза осуществляют ежемесячный обмен информацией нарастающим итогом с начала года, а также предоставляют ее в Секретариат Комиссии Таможенного союза. За отчетный период времени принимается календарный месяц. Информация направляется в срок не позднее последнего дня месяца, следующего за отчетным, по формам, прилагаемым к настоящему Протоколу (Приложение 1, 2). Первое информационное сообщение направляется не позднее последнего дня месяца, следующего за месяцем вступления в силу настоящего Протокола, и должно содержать информацию в помесячной разбивке нарастающим итогом за период с 1 сентября 2010 года по 31 декабря 2010 года и с 1 января 2011 года по месяц вступления в силу настоящего Протокола включительно.</w:t>
      </w:r>
    </w:p>
    <w:bookmarkStart w:name="z12" w:id="8"/>
    <w:p>
      <w:pPr>
        <w:spacing w:after="0"/>
        <w:ind w:left="0"/>
        <w:jc w:val="left"/>
      </w:pPr>
      <w:r>
        <w:rPr>
          <w:rFonts w:ascii="Times New Roman"/>
          <w:b/>
          <w:i w:val="false"/>
          <w:color w:val="000000"/>
        </w:rPr>
        <w:t xml:space="preserve"> 
Статья 5</w:t>
      </w:r>
    </w:p>
    <w:bookmarkEnd w:id="8"/>
    <w:p>
      <w:pPr>
        <w:spacing w:after="0"/>
        <w:ind w:left="0"/>
        <w:jc w:val="both"/>
      </w:pPr>
      <w:r>
        <w:rPr>
          <w:rFonts w:ascii="Times New Roman"/>
          <w:b w:val="false"/>
          <w:i w:val="false"/>
          <w:color w:val="000000"/>
          <w:sz w:val="28"/>
        </w:rPr>
        <w:t>      Центральные таможенные органы государств – членов Таможенного союза, используют информацию, полученную в соответствии с настоящим Протоколом, исключительно в целях настоящего Протокола.</w:t>
      </w:r>
      <w:r>
        <w:br/>
      </w:r>
      <w:r>
        <w:rPr>
          <w:rFonts w:ascii="Times New Roman"/>
          <w:b w:val="false"/>
          <w:i w:val="false"/>
          <w:color w:val="000000"/>
          <w:sz w:val="28"/>
        </w:rPr>
        <w:t>
      Центральные таможенные органы государств – членов Таможенного союза, а также Секретариат Комиссии Таможенного союза принимают необходимые меры по защите от неправомерного распространения информации, получаемой в соответствии с настоящим Протоколом и Соглашением от 20 мая 2010 года.</w:t>
      </w:r>
      <w:r>
        <w:br/>
      </w:r>
      <w:r>
        <w:rPr>
          <w:rFonts w:ascii="Times New Roman"/>
          <w:b w:val="false"/>
          <w:i w:val="false"/>
          <w:color w:val="000000"/>
          <w:sz w:val="28"/>
        </w:rPr>
        <w:t>
      Центральные таможенные органы государств – членов Таможенного союза обеспечивают ограничение круга лиц, имеющих доступ к информации, получаемой в результате взаимного обмена, а также ее защиту, в соответствии с законодательством государств Сторон.</w:t>
      </w:r>
      <w:r>
        <w:br/>
      </w:r>
      <w:r>
        <w:rPr>
          <w:rFonts w:ascii="Times New Roman"/>
          <w:b w:val="false"/>
          <w:i w:val="false"/>
          <w:color w:val="000000"/>
          <w:sz w:val="28"/>
        </w:rPr>
        <w:t>
      Секретариат Комиссии Таможенного союза использует информацию, полученную в соответствии с настоящим Протоколом, в целях реализации пункта 1 и пункта 2 статьи 8 Соглашения от 20 мая 2010 года.</w:t>
      </w:r>
    </w:p>
    <w:bookmarkStart w:name="z13" w:id="9"/>
    <w:p>
      <w:pPr>
        <w:spacing w:after="0"/>
        <w:ind w:left="0"/>
        <w:jc w:val="left"/>
      </w:pPr>
      <w:r>
        <w:rPr>
          <w:rFonts w:ascii="Times New Roman"/>
          <w:b/>
          <w:i w:val="false"/>
          <w:color w:val="000000"/>
        </w:rPr>
        <w:t xml:space="preserve"> 
Статья 6</w:t>
      </w:r>
    </w:p>
    <w:bookmarkEnd w:id="9"/>
    <w:p>
      <w:pPr>
        <w:spacing w:after="0"/>
        <w:ind w:left="0"/>
        <w:jc w:val="both"/>
      </w:pPr>
      <w:r>
        <w:rPr>
          <w:rFonts w:ascii="Times New Roman"/>
          <w:b w:val="false"/>
          <w:i w:val="false"/>
          <w:color w:val="000000"/>
          <w:sz w:val="28"/>
        </w:rPr>
        <w:t>      Переписка по вопросам реализации положений настоящего Протокола ведется на русском языке.</w:t>
      </w:r>
      <w:r>
        <w:br/>
      </w:r>
      <w:r>
        <w:rPr>
          <w:rFonts w:ascii="Times New Roman"/>
          <w:b w:val="false"/>
          <w:i w:val="false"/>
          <w:color w:val="000000"/>
          <w:sz w:val="28"/>
        </w:rPr>
        <w:t>
      Центральные таможенные органы государств – членов Таможенного союза могут вырабатывать и реализовывать совместные технологические решения, направленные на обмен информацией и ее защиту.</w:t>
      </w:r>
    </w:p>
    <w:bookmarkStart w:name="z14" w:id="10"/>
    <w:p>
      <w:pPr>
        <w:spacing w:after="0"/>
        <w:ind w:left="0"/>
        <w:jc w:val="left"/>
      </w:pPr>
      <w:r>
        <w:rPr>
          <w:rFonts w:ascii="Times New Roman"/>
          <w:b/>
          <w:i w:val="false"/>
          <w:color w:val="000000"/>
        </w:rPr>
        <w:t xml:space="preserve"> 
Статья 7</w:t>
      </w:r>
    </w:p>
    <w:bookmarkEnd w:id="10"/>
    <w:p>
      <w:pPr>
        <w:spacing w:after="0"/>
        <w:ind w:left="0"/>
        <w:jc w:val="both"/>
      </w:pPr>
      <w:r>
        <w:rPr>
          <w:rFonts w:ascii="Times New Roman"/>
          <w:b w:val="false"/>
          <w:i w:val="false"/>
          <w:color w:val="000000"/>
          <w:sz w:val="28"/>
        </w:rPr>
        <w:t>      По взаимному согласию Сторон в настоящий Протокол могут вноситься изменения и дополнения, которые оформляются отдельными протоколами.</w:t>
      </w:r>
    </w:p>
    <w:bookmarkStart w:name="z15" w:id="11"/>
    <w:p>
      <w:pPr>
        <w:spacing w:after="0"/>
        <w:ind w:left="0"/>
        <w:jc w:val="left"/>
      </w:pPr>
      <w:r>
        <w:rPr>
          <w:rFonts w:ascii="Times New Roman"/>
          <w:b/>
          <w:i w:val="false"/>
          <w:color w:val="000000"/>
        </w:rPr>
        <w:t xml:space="preserve"> 
Статья 8</w:t>
      </w:r>
    </w:p>
    <w:bookmarkEnd w:id="11"/>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Протокола, разрешаются в первую очередь путем консультаций и переговоров.</w:t>
      </w:r>
      <w:r>
        <w:br/>
      </w:r>
      <w:r>
        <w:rPr>
          <w:rFonts w:ascii="Times New Roman"/>
          <w:b w:val="false"/>
          <w:i w:val="false"/>
          <w:color w:val="000000"/>
          <w:sz w:val="28"/>
        </w:rPr>
        <w:t>
      Если спор не будет урегулирован Сторонами спора путем консультаций или переговоров в течение 6 месяцев с даты официальной письменной просьбы об их проведении, направленной одной Стороной спора другой Стороне спора, то при отсутствии иной договоренности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Start w:name="z16" w:id="12"/>
    <w:p>
      <w:pPr>
        <w:spacing w:after="0"/>
        <w:ind w:left="0"/>
        <w:jc w:val="left"/>
      </w:pPr>
      <w:r>
        <w:rPr>
          <w:rFonts w:ascii="Times New Roman"/>
          <w:b/>
          <w:i w:val="false"/>
          <w:color w:val="000000"/>
        </w:rPr>
        <w:t xml:space="preserve"> 
Статья 9</w:t>
      </w:r>
    </w:p>
    <w:bookmarkEnd w:id="12"/>
    <w:p>
      <w:pPr>
        <w:spacing w:after="0"/>
        <w:ind w:left="0"/>
        <w:jc w:val="both"/>
      </w:pPr>
      <w:r>
        <w:rPr>
          <w:rFonts w:ascii="Times New Roman"/>
          <w:b w:val="false"/>
          <w:i w:val="false"/>
          <w:color w:val="000000"/>
          <w:sz w:val="28"/>
        </w:rPr>
        <w:t>      Настоящий Протокол вступает в силу с даты вступления в силу Соглашения об организации обмена информацией для реализации аналитических и контрольных функций таможенных органов государств – членов Таможенного союза и действует в течение срока действия Соглашения от 20 мая 2010 года.</w:t>
      </w:r>
      <w:r>
        <w:br/>
      </w:r>
      <w:r>
        <w:rPr>
          <w:rFonts w:ascii="Times New Roman"/>
          <w:b w:val="false"/>
          <w:i w:val="false"/>
          <w:color w:val="000000"/>
          <w:sz w:val="28"/>
        </w:rPr>
        <w:t>
      Подлинный экземпляр настоящего Протокола хранится в Комиссии Таможенного союза, которая, являясь депозитарием настоящего Протокола, направит каждой Стороне его заверенную копию.</w:t>
      </w:r>
      <w:r>
        <w:br/>
      </w:r>
      <w:r>
        <w:rPr>
          <w:rFonts w:ascii="Times New Roman"/>
          <w:b w:val="false"/>
          <w:i w:val="false"/>
          <w:color w:val="000000"/>
          <w:sz w:val="28"/>
        </w:rPr>
        <w:t>
      Совершено в городе ________________ «____»____________2011 года в одном подлинном экземпляре на русском языке.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4513"/>
        <w:gridCol w:w="449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bl>
    <w:bookmarkStart w:name="z17"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Протоколу о порядке</w:t>
      </w:r>
      <w:r>
        <w:br/>
      </w:r>
      <w:r>
        <w:rPr>
          <w:rFonts w:ascii="Times New Roman"/>
          <w:b w:val="false"/>
          <w:i w:val="false"/>
          <w:color w:val="000000"/>
          <w:sz w:val="28"/>
        </w:rPr>
        <w:t>
обмена информацией,</w:t>
      </w:r>
      <w:r>
        <w:br/>
      </w:r>
      <w:r>
        <w:rPr>
          <w:rFonts w:ascii="Times New Roman"/>
          <w:b w:val="false"/>
          <w:i w:val="false"/>
          <w:color w:val="000000"/>
          <w:sz w:val="28"/>
        </w:rPr>
        <w:t>
связанной с уплатой</w:t>
      </w:r>
      <w:r>
        <w:br/>
      </w:r>
      <w:r>
        <w:rPr>
          <w:rFonts w:ascii="Times New Roman"/>
          <w:b w:val="false"/>
          <w:i w:val="false"/>
          <w:color w:val="000000"/>
          <w:sz w:val="28"/>
        </w:rPr>
        <w:t>
ввозных таможенных</w:t>
      </w:r>
      <w:r>
        <w:br/>
      </w:r>
      <w:r>
        <w:rPr>
          <w:rFonts w:ascii="Times New Roman"/>
          <w:b w:val="false"/>
          <w:i w:val="false"/>
          <w:color w:val="000000"/>
          <w:sz w:val="28"/>
        </w:rPr>
        <w:t xml:space="preserve">
пошлин       </w:t>
      </w:r>
    </w:p>
    <w:bookmarkEnd w:id="13"/>
    <w:bookmarkStart w:name="z18" w:id="14"/>
    <w:p>
      <w:pPr>
        <w:spacing w:after="0"/>
        <w:ind w:left="0"/>
        <w:jc w:val="both"/>
      </w:pPr>
      <w:r>
        <w:rPr>
          <w:rFonts w:ascii="Times New Roman"/>
          <w:b w:val="false"/>
          <w:i w:val="false"/>
          <w:color w:val="000000"/>
          <w:sz w:val="28"/>
        </w:rPr>
        <w:t>
      Оперативные сведения, связанные с уплатой ввозных таможенных пошлин, за период _________________________</w:t>
      </w:r>
      <w:r>
        <w:br/>
      </w:r>
      <w:r>
        <w:rPr>
          <w:rFonts w:ascii="Times New Roman"/>
          <w:b w:val="false"/>
          <w:i w:val="false"/>
          <w:color w:val="000000"/>
          <w:sz w:val="28"/>
        </w:rPr>
        <w:t>
                        (месяц, год)</w:t>
      </w:r>
    </w:p>
    <w:bookmarkEnd w:id="14"/>
    <w:p>
      <w:pPr>
        <w:spacing w:after="0"/>
        <w:ind w:left="0"/>
        <w:jc w:val="both"/>
      </w:pPr>
      <w:r>
        <w:rPr>
          <w:rFonts w:ascii="Times New Roman"/>
          <w:b w:val="false"/>
          <w:i w:val="false"/>
          <w:color w:val="000000"/>
          <w:sz w:val="28"/>
        </w:rPr>
        <w:t>      по состоянию на «__»_________________ 20__г.</w:t>
      </w:r>
    </w:p>
    <w:p>
      <w:pPr>
        <w:spacing w:after="0"/>
        <w:ind w:left="0"/>
        <w:jc w:val="both"/>
      </w:pPr>
      <w:r>
        <w:rPr>
          <w:rFonts w:ascii="Times New Roman"/>
          <w:b w:val="false"/>
          <w:i w:val="false"/>
          <w:color w:val="000000"/>
          <w:sz w:val="28"/>
        </w:rPr>
        <w:t>Единица измерения в тысячах долларах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9"/>
        <w:gridCol w:w="2199"/>
        <w:gridCol w:w="1428"/>
        <w:gridCol w:w="2970"/>
        <w:gridCol w:w="1814"/>
        <w:gridCol w:w="2435"/>
        <w:gridCol w:w="1215"/>
      </w:tblGrid>
      <w:tr>
        <w:trPr>
          <w:trHeight w:val="2415" w:hRule="atLeast"/>
        </w:trPr>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перехо-</w:t>
            </w:r>
            <w:r>
              <w:br/>
            </w:r>
            <w:r>
              <w:rPr>
                <w:rFonts w:ascii="Times New Roman"/>
                <w:b w:val="false"/>
                <w:i w:val="false"/>
                <w:color w:val="000000"/>
                <w:sz w:val="20"/>
              </w:rPr>
              <w:t>
</w:t>
            </w:r>
            <w:r>
              <w:rPr>
                <w:rFonts w:ascii="Times New Roman"/>
                <w:b w:val="false"/>
                <w:i w:val="false"/>
                <w:color w:val="000000"/>
                <w:sz w:val="20"/>
              </w:rPr>
              <w:t>дящих</w:t>
            </w:r>
            <w:r>
              <w:br/>
            </w:r>
            <w:r>
              <w:rPr>
                <w:rFonts w:ascii="Times New Roman"/>
                <w:b w:val="false"/>
                <w:i w:val="false"/>
                <w:color w:val="000000"/>
                <w:sz w:val="20"/>
              </w:rPr>
              <w:t>
</w:t>
            </w:r>
            <w:r>
              <w:rPr>
                <w:rFonts w:ascii="Times New Roman"/>
                <w:b w:val="false"/>
                <w:i w:val="false"/>
                <w:color w:val="000000"/>
                <w:sz w:val="20"/>
              </w:rPr>
              <w:t>остатков</w:t>
            </w:r>
            <w:r>
              <w:br/>
            </w:r>
            <w:r>
              <w:rPr>
                <w:rFonts w:ascii="Times New Roman"/>
                <w:b w:val="false"/>
                <w:i w:val="false"/>
                <w:color w:val="000000"/>
                <w:sz w:val="20"/>
              </w:rPr>
              <w:t>
</w:t>
            </w:r>
            <w:r>
              <w:rPr>
                <w:rFonts w:ascii="Times New Roman"/>
                <w:b w:val="false"/>
                <w:i w:val="false"/>
                <w:color w:val="000000"/>
                <w:sz w:val="20"/>
              </w:rPr>
              <w:t>по КБК</w:t>
            </w:r>
            <w:r>
              <w:br/>
            </w:r>
            <w:r>
              <w:rPr>
                <w:rFonts w:ascii="Times New Roman"/>
                <w:b w:val="false"/>
                <w:i w:val="false"/>
                <w:color w:val="000000"/>
                <w:sz w:val="20"/>
              </w:rPr>
              <w:t>
</w:t>
            </w:r>
            <w:r>
              <w:rPr>
                <w:rFonts w:ascii="Times New Roman"/>
                <w:b w:val="false"/>
                <w:i w:val="false"/>
                <w:color w:val="000000"/>
                <w:sz w:val="20"/>
              </w:rPr>
              <w:t>ввозной</w:t>
            </w:r>
            <w:r>
              <w:br/>
            </w:r>
            <w:r>
              <w:rPr>
                <w:rFonts w:ascii="Times New Roman"/>
                <w:b w:val="false"/>
                <w:i w:val="false"/>
                <w:color w:val="000000"/>
                <w:sz w:val="20"/>
              </w:rPr>
              <w:t>
</w:t>
            </w:r>
            <w:r>
              <w:rPr>
                <w:rFonts w:ascii="Times New Roman"/>
                <w:b w:val="false"/>
                <w:i w:val="false"/>
                <w:color w:val="000000"/>
                <w:sz w:val="20"/>
              </w:rPr>
              <w:t>таможенной</w:t>
            </w:r>
            <w:r>
              <w:br/>
            </w:r>
            <w:r>
              <w:rPr>
                <w:rFonts w:ascii="Times New Roman"/>
                <w:b w:val="false"/>
                <w:i w:val="false"/>
                <w:color w:val="000000"/>
                <w:sz w:val="20"/>
              </w:rPr>
              <w:t>
</w:t>
            </w:r>
            <w:r>
              <w:rPr>
                <w:rFonts w:ascii="Times New Roman"/>
                <w:b w:val="false"/>
                <w:i w:val="false"/>
                <w:color w:val="000000"/>
                <w:sz w:val="20"/>
              </w:rPr>
              <w:t>пошлины 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тально</w:t>
            </w:r>
            <w:r>
              <w:br/>
            </w:r>
            <w:r>
              <w:rPr>
                <w:rFonts w:ascii="Times New Roman"/>
                <w:b w:val="false"/>
                <w:i w:val="false"/>
                <w:color w:val="000000"/>
                <w:sz w:val="20"/>
              </w:rPr>
              <w:t>
</w:t>
            </w:r>
            <w:r>
              <w:rPr>
                <w:rFonts w:ascii="Times New Roman"/>
                <w:b w:val="false"/>
                <w:i w:val="false"/>
                <w:color w:val="000000"/>
                <w:sz w:val="20"/>
              </w:rPr>
              <w:t>отраженная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ввозной</w:t>
            </w:r>
            <w:r>
              <w:br/>
            </w:r>
            <w:r>
              <w:rPr>
                <w:rFonts w:ascii="Times New Roman"/>
                <w:b w:val="false"/>
                <w:i w:val="false"/>
                <w:color w:val="000000"/>
                <w:sz w:val="20"/>
              </w:rPr>
              <w:t>
</w:t>
            </w:r>
            <w:r>
              <w:rPr>
                <w:rFonts w:ascii="Times New Roman"/>
                <w:b w:val="false"/>
                <w:i w:val="false"/>
                <w:color w:val="000000"/>
                <w:sz w:val="20"/>
              </w:rPr>
              <w:t>таможенной</w:t>
            </w:r>
            <w:r>
              <w:br/>
            </w:r>
            <w:r>
              <w:rPr>
                <w:rFonts w:ascii="Times New Roman"/>
                <w:b w:val="false"/>
                <w:i w:val="false"/>
                <w:color w:val="000000"/>
                <w:sz w:val="20"/>
              </w:rPr>
              <w:t>
</w:t>
            </w:r>
            <w:r>
              <w:rPr>
                <w:rFonts w:ascii="Times New Roman"/>
                <w:b w:val="false"/>
                <w:i w:val="false"/>
                <w:color w:val="000000"/>
                <w:sz w:val="20"/>
              </w:rPr>
              <w:t>пошлины в</w:t>
            </w:r>
            <w:r>
              <w:br/>
            </w:r>
            <w:r>
              <w:rPr>
                <w:rFonts w:ascii="Times New Roman"/>
                <w:b w:val="false"/>
                <w:i w:val="false"/>
                <w:color w:val="000000"/>
                <w:sz w:val="20"/>
              </w:rPr>
              <w:t>
</w:t>
            </w:r>
            <w:r>
              <w:rPr>
                <w:rFonts w:ascii="Times New Roman"/>
                <w:b w:val="false"/>
                <w:i w:val="false"/>
                <w:color w:val="000000"/>
                <w:sz w:val="20"/>
              </w:rPr>
              <w:t>оформленных</w:t>
            </w:r>
            <w:r>
              <w:br/>
            </w:r>
            <w:r>
              <w:rPr>
                <w:rFonts w:ascii="Times New Roman"/>
                <w:b w:val="false"/>
                <w:i w:val="false"/>
                <w:color w:val="000000"/>
                <w:sz w:val="20"/>
              </w:rPr>
              <w:t>
</w:t>
            </w:r>
            <w:r>
              <w:rPr>
                <w:rFonts w:ascii="Times New Roman"/>
                <w:b w:val="false"/>
                <w:i w:val="false"/>
                <w:color w:val="000000"/>
                <w:sz w:val="20"/>
              </w:rPr>
              <w:t>таможенных</w:t>
            </w:r>
            <w:r>
              <w:br/>
            </w:r>
            <w:r>
              <w:rPr>
                <w:rFonts w:ascii="Times New Roman"/>
                <w:b w:val="false"/>
                <w:i w:val="false"/>
                <w:color w:val="000000"/>
                <w:sz w:val="20"/>
              </w:rPr>
              <w:t>
</w:t>
            </w:r>
            <w:r>
              <w:rPr>
                <w:rFonts w:ascii="Times New Roman"/>
                <w:b w:val="false"/>
                <w:i w:val="false"/>
                <w:color w:val="000000"/>
                <w:sz w:val="20"/>
              </w:rPr>
              <w:t>документах</w:t>
            </w:r>
            <w:r>
              <w:br/>
            </w:r>
            <w:r>
              <w:rPr>
                <w:rFonts w:ascii="Times New Roman"/>
                <w:b w:val="false"/>
                <w:i w:val="false"/>
                <w:color w:val="000000"/>
                <w:sz w:val="20"/>
              </w:rPr>
              <w:t>
</w:t>
            </w:r>
            <w:r>
              <w:rPr>
                <w:rFonts w:ascii="Times New Roman"/>
                <w:b w:val="false"/>
                <w:i w:val="false"/>
                <w:color w:val="000000"/>
                <w:sz w:val="20"/>
              </w:rPr>
              <w:t>об уплате</w:t>
            </w:r>
            <w:r>
              <w:br/>
            </w:r>
            <w:r>
              <w:rPr>
                <w:rFonts w:ascii="Times New Roman"/>
                <w:b w:val="false"/>
                <w:i w:val="false"/>
                <w:color w:val="000000"/>
                <w:sz w:val="20"/>
              </w:rPr>
              <w:t>
</w:t>
            </w:r>
            <w:r>
              <w:rPr>
                <w:rFonts w:ascii="Times New Roman"/>
                <w:b w:val="false"/>
                <w:i w:val="false"/>
                <w:color w:val="000000"/>
                <w:sz w:val="20"/>
              </w:rPr>
              <w:t>(взыскании)</w:t>
            </w:r>
            <w:r>
              <w:br/>
            </w:r>
            <w:r>
              <w:rPr>
                <w:rFonts w:ascii="Times New Roman"/>
                <w:b w:val="false"/>
                <w:i w:val="false"/>
                <w:color w:val="000000"/>
                <w:sz w:val="20"/>
              </w:rPr>
              <w:t>
</w:t>
            </w:r>
            <w:r>
              <w:rPr>
                <w:rFonts w:ascii="Times New Roman"/>
                <w:b w:val="false"/>
                <w:i w:val="false"/>
                <w:color w:val="000000"/>
                <w:sz w:val="20"/>
              </w:rPr>
              <w:t>ввозной</w:t>
            </w:r>
            <w:r>
              <w:br/>
            </w:r>
            <w:r>
              <w:rPr>
                <w:rFonts w:ascii="Times New Roman"/>
                <w:b w:val="false"/>
                <w:i w:val="false"/>
                <w:color w:val="000000"/>
                <w:sz w:val="20"/>
              </w:rPr>
              <w:t>
</w:t>
            </w:r>
            <w:r>
              <w:rPr>
                <w:rFonts w:ascii="Times New Roman"/>
                <w:b w:val="false"/>
                <w:i w:val="false"/>
                <w:color w:val="000000"/>
                <w:sz w:val="20"/>
              </w:rPr>
              <w:t>таможенной</w:t>
            </w:r>
            <w:r>
              <w:br/>
            </w:r>
            <w:r>
              <w:rPr>
                <w:rFonts w:ascii="Times New Roman"/>
                <w:b w:val="false"/>
                <w:i w:val="false"/>
                <w:color w:val="000000"/>
                <w:sz w:val="20"/>
              </w:rPr>
              <w:t>
</w:t>
            </w:r>
            <w:r>
              <w:rPr>
                <w:rFonts w:ascii="Times New Roman"/>
                <w:b w:val="false"/>
                <w:i w:val="false"/>
                <w:color w:val="000000"/>
                <w:sz w:val="20"/>
              </w:rPr>
              <w:t>пошлины**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поступившей</w:t>
            </w:r>
            <w:r>
              <w:br/>
            </w:r>
            <w:r>
              <w:rPr>
                <w:rFonts w:ascii="Times New Roman"/>
                <w:b w:val="false"/>
                <w:i w:val="false"/>
                <w:color w:val="000000"/>
                <w:sz w:val="20"/>
              </w:rPr>
              <w:t>
</w:t>
            </w:r>
            <w:r>
              <w:rPr>
                <w:rFonts w:ascii="Times New Roman"/>
                <w:b w:val="false"/>
                <w:i w:val="false"/>
                <w:color w:val="000000"/>
                <w:sz w:val="20"/>
              </w:rPr>
              <w:t>(уплаченной, взысканной)</w:t>
            </w:r>
            <w:r>
              <w:br/>
            </w:r>
            <w:r>
              <w:rPr>
                <w:rFonts w:ascii="Times New Roman"/>
                <w:b w:val="false"/>
                <w:i w:val="false"/>
                <w:color w:val="000000"/>
                <w:sz w:val="20"/>
              </w:rPr>
              <w:t>
</w:t>
            </w:r>
            <w:r>
              <w:rPr>
                <w:rFonts w:ascii="Times New Roman"/>
                <w:b w:val="false"/>
                <w:i w:val="false"/>
                <w:color w:val="000000"/>
                <w:sz w:val="20"/>
              </w:rPr>
              <w:t>ввозной таможенной</w:t>
            </w:r>
            <w:r>
              <w:br/>
            </w:r>
            <w:r>
              <w:rPr>
                <w:rFonts w:ascii="Times New Roman"/>
                <w:b w:val="false"/>
                <w:i w:val="false"/>
                <w:color w:val="000000"/>
                <w:sz w:val="20"/>
              </w:rPr>
              <w:t>
</w:t>
            </w:r>
            <w:r>
              <w:rPr>
                <w:rFonts w:ascii="Times New Roman"/>
                <w:b w:val="false"/>
                <w:i w:val="false"/>
                <w:color w:val="000000"/>
                <w:sz w:val="20"/>
              </w:rPr>
              <w:t>пошлины по КБК ввозной</w:t>
            </w:r>
            <w:r>
              <w:br/>
            </w:r>
            <w:r>
              <w:rPr>
                <w:rFonts w:ascii="Times New Roman"/>
                <w:b w:val="false"/>
                <w:i w:val="false"/>
                <w:color w:val="000000"/>
                <w:sz w:val="20"/>
              </w:rPr>
              <w:t>
</w:t>
            </w:r>
            <w:r>
              <w:rPr>
                <w:rFonts w:ascii="Times New Roman"/>
                <w:b w:val="false"/>
                <w:i w:val="false"/>
                <w:color w:val="000000"/>
                <w:sz w:val="20"/>
              </w:rPr>
              <w:t>таможенной пошлины (согласно выписке</w:t>
            </w:r>
            <w:r>
              <w:br/>
            </w:r>
            <w:r>
              <w:rPr>
                <w:rFonts w:ascii="Times New Roman"/>
                <w:b w:val="false"/>
                <w:i w:val="false"/>
                <w:color w:val="000000"/>
                <w:sz w:val="20"/>
              </w:rPr>
              <w:t>
</w:t>
            </w:r>
            <w:r>
              <w:rPr>
                <w:rFonts w:ascii="Times New Roman"/>
                <w:b w:val="false"/>
                <w:i w:val="false"/>
                <w:color w:val="000000"/>
                <w:sz w:val="20"/>
              </w:rPr>
              <w:t>(информации) по единому</w:t>
            </w:r>
            <w:r>
              <w:br/>
            </w:r>
            <w:r>
              <w:rPr>
                <w:rFonts w:ascii="Times New Roman"/>
                <w:b w:val="false"/>
                <w:i w:val="false"/>
                <w:color w:val="000000"/>
                <w:sz w:val="20"/>
              </w:rPr>
              <w:t>
</w:t>
            </w:r>
            <w:r>
              <w:rPr>
                <w:rFonts w:ascii="Times New Roman"/>
                <w:b w:val="false"/>
                <w:i w:val="false"/>
                <w:color w:val="000000"/>
                <w:sz w:val="20"/>
              </w:rPr>
              <w:t>счету 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возвращен-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ввозной</w:t>
            </w:r>
            <w:r>
              <w:br/>
            </w:r>
            <w:r>
              <w:rPr>
                <w:rFonts w:ascii="Times New Roman"/>
                <w:b w:val="false"/>
                <w:i w:val="false"/>
                <w:color w:val="000000"/>
                <w:sz w:val="20"/>
              </w:rPr>
              <w:t>
</w:t>
            </w:r>
            <w:r>
              <w:rPr>
                <w:rFonts w:ascii="Times New Roman"/>
                <w:b w:val="false"/>
                <w:i w:val="false"/>
                <w:color w:val="000000"/>
                <w:sz w:val="20"/>
              </w:rPr>
              <w:t>таможенной</w:t>
            </w:r>
            <w:r>
              <w:br/>
            </w:r>
            <w:r>
              <w:rPr>
                <w:rFonts w:ascii="Times New Roman"/>
                <w:b w:val="false"/>
                <w:i w:val="false"/>
                <w:color w:val="000000"/>
                <w:sz w:val="20"/>
              </w:rPr>
              <w:t>
</w:t>
            </w:r>
            <w:r>
              <w:rPr>
                <w:rFonts w:ascii="Times New Roman"/>
                <w:b w:val="false"/>
                <w:i w:val="false"/>
                <w:color w:val="000000"/>
                <w:sz w:val="20"/>
              </w:rPr>
              <w:t>пошлины</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переходящих</w:t>
            </w:r>
            <w:r>
              <w:br/>
            </w:r>
            <w:r>
              <w:rPr>
                <w:rFonts w:ascii="Times New Roman"/>
                <w:b w:val="false"/>
                <w:i w:val="false"/>
                <w:color w:val="000000"/>
                <w:sz w:val="20"/>
              </w:rPr>
              <w:t>
</w:t>
            </w:r>
            <w:r>
              <w:rPr>
                <w:rFonts w:ascii="Times New Roman"/>
                <w:b w:val="false"/>
                <w:i w:val="false"/>
                <w:color w:val="000000"/>
                <w:sz w:val="20"/>
              </w:rPr>
              <w:t>остатков по</w:t>
            </w:r>
            <w:r>
              <w:br/>
            </w:r>
            <w:r>
              <w:rPr>
                <w:rFonts w:ascii="Times New Roman"/>
                <w:b w:val="false"/>
                <w:i w:val="false"/>
                <w:color w:val="000000"/>
                <w:sz w:val="20"/>
              </w:rPr>
              <w:t>
</w:t>
            </w:r>
            <w:r>
              <w:rPr>
                <w:rFonts w:ascii="Times New Roman"/>
                <w:b w:val="false"/>
                <w:i w:val="false"/>
                <w:color w:val="000000"/>
                <w:sz w:val="20"/>
              </w:rPr>
              <w:t>КБК ввозной</w:t>
            </w:r>
            <w:r>
              <w:br/>
            </w:r>
            <w:r>
              <w:rPr>
                <w:rFonts w:ascii="Times New Roman"/>
                <w:b w:val="false"/>
                <w:i w:val="false"/>
                <w:color w:val="000000"/>
                <w:sz w:val="20"/>
              </w:rPr>
              <w:t>
</w:t>
            </w:r>
            <w:r>
              <w:rPr>
                <w:rFonts w:ascii="Times New Roman"/>
                <w:b w:val="false"/>
                <w:i w:val="false"/>
                <w:color w:val="000000"/>
                <w:sz w:val="20"/>
              </w:rPr>
              <w:t>таможенной</w:t>
            </w:r>
            <w:r>
              <w:br/>
            </w:r>
            <w:r>
              <w:rPr>
                <w:rFonts w:ascii="Times New Roman"/>
                <w:b w:val="false"/>
                <w:i w:val="false"/>
                <w:color w:val="000000"/>
                <w:sz w:val="20"/>
              </w:rPr>
              <w:t>
</w:t>
            </w:r>
            <w:r>
              <w:rPr>
                <w:rFonts w:ascii="Times New Roman"/>
                <w:b w:val="false"/>
                <w:i w:val="false"/>
                <w:color w:val="000000"/>
                <w:sz w:val="20"/>
              </w:rPr>
              <w:t>пошлины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r>
              <w:br/>
            </w:r>
            <w:r>
              <w:rPr>
                <w:rFonts w:ascii="Times New Roman"/>
                <w:b w:val="false"/>
                <w:i w:val="false"/>
                <w:color w:val="000000"/>
                <w:sz w:val="20"/>
              </w:rPr>
              <w:t>
</w:t>
            </w:r>
            <w:r>
              <w:rPr>
                <w:rFonts w:ascii="Times New Roman"/>
                <w:b w:val="false"/>
                <w:i w:val="false"/>
                <w:color w:val="000000"/>
                <w:sz w:val="20"/>
              </w:rPr>
              <w:t>(гр.1 + гр.3</w:t>
            </w:r>
            <w:r>
              <w:br/>
            </w:r>
            <w:r>
              <w:rPr>
                <w:rFonts w:ascii="Times New Roman"/>
                <w:b w:val="false"/>
                <w:i w:val="false"/>
                <w:color w:val="000000"/>
                <w:sz w:val="20"/>
              </w:rPr>
              <w:t>
</w:t>
            </w:r>
            <w:r>
              <w:rPr>
                <w:rFonts w:ascii="Times New Roman"/>
                <w:b w:val="false"/>
                <w:i w:val="false"/>
                <w:color w:val="000000"/>
                <w:sz w:val="20"/>
              </w:rPr>
              <w:t>- гр.2 - гр.5)</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r>
              <w:br/>
            </w:r>
            <w:r>
              <w:rPr>
                <w:rFonts w:ascii="Times New Roman"/>
                <w:b w:val="false"/>
                <w:i w:val="false"/>
                <w:color w:val="000000"/>
                <w:sz w:val="20"/>
              </w:rPr>
              <w:t>
</w:t>
            </w:r>
            <w:r>
              <w:rPr>
                <w:rFonts w:ascii="Times New Roman"/>
                <w:b w:val="false"/>
                <w:i w:val="false"/>
                <w:color w:val="000000"/>
                <w:sz w:val="20"/>
              </w:rPr>
              <w:t>****</w:t>
            </w:r>
          </w:p>
        </w:tc>
      </w:tr>
      <w:tr>
        <w:trPr>
          <w:trHeight w:val="24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сумма зачтенных</w:t>
            </w:r>
            <w:r>
              <w:br/>
            </w:r>
            <w:r>
              <w:rPr>
                <w:rFonts w:ascii="Times New Roman"/>
                <w:b w:val="false"/>
                <w:i w:val="false"/>
                <w:color w:val="000000"/>
                <w:sz w:val="20"/>
              </w:rPr>
              <w:t>
</w:t>
            </w:r>
            <w:r>
              <w:rPr>
                <w:rFonts w:ascii="Times New Roman"/>
                <w:b w:val="false"/>
                <w:i w:val="false"/>
                <w:color w:val="000000"/>
                <w:sz w:val="20"/>
              </w:rPr>
              <w:t>ввозных</w:t>
            </w:r>
            <w:r>
              <w:br/>
            </w:r>
            <w:r>
              <w:rPr>
                <w:rFonts w:ascii="Times New Roman"/>
                <w:b w:val="false"/>
                <w:i w:val="false"/>
                <w:color w:val="000000"/>
                <w:sz w:val="20"/>
              </w:rPr>
              <w:t>
</w:t>
            </w:r>
            <w:r>
              <w:rPr>
                <w:rFonts w:ascii="Times New Roman"/>
                <w:b w:val="false"/>
                <w:i w:val="false"/>
                <w:color w:val="000000"/>
                <w:sz w:val="20"/>
              </w:rPr>
              <w:t>таможенных пошлин</w:t>
            </w:r>
            <w:r>
              <w:br/>
            </w:r>
            <w:r>
              <w:rPr>
                <w:rFonts w:ascii="Times New Roman"/>
                <w:b w:val="false"/>
                <w:i w:val="false"/>
                <w:color w:val="000000"/>
                <w:sz w:val="20"/>
              </w:rPr>
              <w:t>
</w:t>
            </w:r>
            <w:r>
              <w:rPr>
                <w:rFonts w:ascii="Times New Roman"/>
                <w:b w:val="false"/>
                <w:i w:val="false"/>
                <w:color w:val="000000"/>
                <w:sz w:val="20"/>
              </w:rPr>
              <w:t>по КБК ввозной</w:t>
            </w:r>
            <w:r>
              <w:br/>
            </w:r>
            <w:r>
              <w:rPr>
                <w:rFonts w:ascii="Times New Roman"/>
                <w:b w:val="false"/>
                <w:i w:val="false"/>
                <w:color w:val="000000"/>
                <w:sz w:val="20"/>
              </w:rPr>
              <w:t>
</w:t>
            </w:r>
            <w:r>
              <w:rPr>
                <w:rFonts w:ascii="Times New Roman"/>
                <w:b w:val="false"/>
                <w:i w:val="false"/>
                <w:color w:val="000000"/>
                <w:sz w:val="20"/>
              </w:rPr>
              <w:t>таможенной</w:t>
            </w:r>
            <w:r>
              <w:br/>
            </w:r>
            <w:r>
              <w:rPr>
                <w:rFonts w:ascii="Times New Roman"/>
                <w:b w:val="false"/>
                <w:i w:val="false"/>
                <w:color w:val="000000"/>
                <w:sz w:val="20"/>
              </w:rPr>
              <w:t>
</w:t>
            </w:r>
            <w:r>
              <w:rPr>
                <w:rFonts w:ascii="Times New Roman"/>
                <w:b w:val="false"/>
                <w:i w:val="false"/>
                <w:color w:val="000000"/>
                <w:sz w:val="20"/>
              </w:rPr>
              <w:t>пошлины***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*применяется среднемесячный курс доллара США к национальной валюте национального (центрального) банка государства - члена Таможенного союза за отчетный месяц;</w:t>
      </w:r>
      <w:r>
        <w:br/>
      </w:r>
      <w:r>
        <w:rPr>
          <w:rFonts w:ascii="Times New Roman"/>
          <w:b w:val="false"/>
          <w:i w:val="false"/>
          <w:color w:val="000000"/>
          <w:sz w:val="28"/>
        </w:rPr>
        <w:t>
      **заполняется на основании сведений, полученных при списании с гр. «В» декларации на товары ТД, КТС, КДТ, ТПО (если ТПО применяется для уплаты ввозных таможенных пошлин) суммы ввозной таможенной пошлины (с 1 февраля 2011 года);</w:t>
      </w:r>
      <w:r>
        <w:br/>
      </w:r>
      <w:r>
        <w:rPr>
          <w:rFonts w:ascii="Times New Roman"/>
          <w:b w:val="false"/>
          <w:i w:val="false"/>
          <w:color w:val="000000"/>
          <w:sz w:val="28"/>
        </w:rPr>
        <w:t>
      ***сумма зачтенной ввозной таможенной пошлины - денежные средства (деньги), поступившие на единый счет уполномоченного органа, и зачтенные в счет уплаты ввозной таможенной пошлины по КБК ввозной таможенной пошлины;</w:t>
      </w:r>
      <w:r>
        <w:br/>
      </w:r>
      <w:r>
        <w:rPr>
          <w:rFonts w:ascii="Times New Roman"/>
          <w:b w:val="false"/>
          <w:i w:val="false"/>
          <w:color w:val="000000"/>
          <w:sz w:val="28"/>
        </w:rPr>
        <w:t>
      ****графа заполняется для целей отражения сумм предоставленных отсрочек и рассрочек уплаты ввозной таможенной пошлины, а также при необходимости указания иной информации.</w:t>
      </w:r>
      <w:r>
        <w:br/>
      </w:r>
      <w:r>
        <w:rPr>
          <w:rFonts w:ascii="Times New Roman"/>
          <w:b w:val="false"/>
          <w:i w:val="false"/>
          <w:color w:val="000000"/>
          <w:sz w:val="28"/>
        </w:rPr>
        <w:t>
      Сведения, указываемые в графах 2 - 5, отражаются нарастающим итогом с начала года.</w:t>
      </w:r>
    </w:p>
    <w:bookmarkStart w:name="z19"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Протоколу о порядке</w:t>
      </w:r>
      <w:r>
        <w:br/>
      </w:r>
      <w:r>
        <w:rPr>
          <w:rFonts w:ascii="Times New Roman"/>
          <w:b w:val="false"/>
          <w:i w:val="false"/>
          <w:color w:val="000000"/>
          <w:sz w:val="28"/>
        </w:rPr>
        <w:t xml:space="preserve">
обмена информацией, </w:t>
      </w:r>
      <w:r>
        <w:br/>
      </w:r>
      <w:r>
        <w:rPr>
          <w:rFonts w:ascii="Times New Roman"/>
          <w:b w:val="false"/>
          <w:i w:val="false"/>
          <w:color w:val="000000"/>
          <w:sz w:val="28"/>
        </w:rPr>
        <w:t xml:space="preserve">
связанной с    </w:t>
      </w:r>
      <w:r>
        <w:br/>
      </w:r>
      <w:r>
        <w:rPr>
          <w:rFonts w:ascii="Times New Roman"/>
          <w:b w:val="false"/>
          <w:i w:val="false"/>
          <w:color w:val="000000"/>
          <w:sz w:val="28"/>
        </w:rPr>
        <w:t xml:space="preserve">
уплатой ввозных   </w:t>
      </w:r>
      <w:r>
        <w:br/>
      </w:r>
      <w:r>
        <w:rPr>
          <w:rFonts w:ascii="Times New Roman"/>
          <w:b w:val="false"/>
          <w:i w:val="false"/>
          <w:color w:val="000000"/>
          <w:sz w:val="28"/>
        </w:rPr>
        <w:t xml:space="preserve">
таможенных пошлин  </w:t>
      </w:r>
    </w:p>
    <w:bookmarkEnd w:id="15"/>
    <w:bookmarkStart w:name="z20" w:id="16"/>
    <w:p>
      <w:pPr>
        <w:spacing w:after="0"/>
        <w:ind w:left="0"/>
        <w:jc w:val="both"/>
      </w:pPr>
      <w:r>
        <w:rPr>
          <w:rFonts w:ascii="Times New Roman"/>
          <w:b w:val="false"/>
          <w:i w:val="false"/>
          <w:color w:val="000000"/>
          <w:sz w:val="28"/>
        </w:rPr>
        <w:t>
      Оперативные сведения по ввозной таможенной пошлине из баз данных электронных копий деклараций на товары и таможенных приходных ордеров, и других документов</w:t>
      </w:r>
      <w:r>
        <w:br/>
      </w:r>
      <w:r>
        <w:rPr>
          <w:rFonts w:ascii="Times New Roman"/>
          <w:b w:val="false"/>
          <w:i w:val="false"/>
          <w:color w:val="000000"/>
          <w:sz w:val="28"/>
        </w:rPr>
        <w:t>
            по состоянию на «__» _____________ 20__г.</w:t>
      </w:r>
    </w:p>
    <w:bookmarkEnd w:id="16"/>
    <w:p>
      <w:pPr>
        <w:spacing w:after="0"/>
        <w:ind w:left="0"/>
        <w:jc w:val="both"/>
      </w:pPr>
      <w:r>
        <w:rPr>
          <w:rFonts w:ascii="Times New Roman"/>
          <w:b w:val="false"/>
          <w:i w:val="false"/>
          <w:color w:val="000000"/>
          <w:sz w:val="28"/>
        </w:rPr>
        <w:t>Единица измерения в тысячах долларах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5113"/>
        <w:gridCol w:w="503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 платежа</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ввозной таможенной</w:t>
            </w:r>
            <w:r>
              <w:br/>
            </w:r>
            <w:r>
              <w:rPr>
                <w:rFonts w:ascii="Times New Roman"/>
                <w:b w:val="false"/>
                <w:i w:val="false"/>
                <w:color w:val="000000"/>
                <w:sz w:val="20"/>
              </w:rPr>
              <w:t>
</w:t>
            </w:r>
            <w:r>
              <w:rPr>
                <w:rFonts w:ascii="Times New Roman"/>
                <w:b w:val="false"/>
                <w:i w:val="false"/>
                <w:color w:val="000000"/>
                <w:sz w:val="20"/>
              </w:rPr>
              <w:t>пошлины, начисленной к уплате</w:t>
            </w:r>
            <w:r>
              <w:br/>
            </w:r>
            <w:r>
              <w:rPr>
                <w:rFonts w:ascii="Times New Roman"/>
                <w:b w:val="false"/>
                <w:i w:val="false"/>
                <w:color w:val="000000"/>
                <w:sz w:val="20"/>
              </w:rPr>
              <w:t>
</w:t>
            </w:r>
            <w:r>
              <w:rPr>
                <w:rFonts w:ascii="Times New Roman"/>
                <w:b w:val="false"/>
                <w:i w:val="false"/>
                <w:color w:val="000000"/>
                <w:sz w:val="20"/>
              </w:rPr>
              <w:t>(за ________________ 20__г.)</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ввозной таможенной</w:t>
            </w:r>
            <w:r>
              <w:br/>
            </w:r>
            <w:r>
              <w:rPr>
                <w:rFonts w:ascii="Times New Roman"/>
                <w:b w:val="false"/>
                <w:i w:val="false"/>
                <w:color w:val="000000"/>
                <w:sz w:val="20"/>
              </w:rPr>
              <w:t>
</w:t>
            </w:r>
            <w:r>
              <w:rPr>
                <w:rFonts w:ascii="Times New Roman"/>
                <w:b w:val="false"/>
                <w:i w:val="false"/>
                <w:color w:val="000000"/>
                <w:sz w:val="20"/>
              </w:rPr>
              <w:t>пошлины, начисленной к уплате</w:t>
            </w:r>
            <w:r>
              <w:br/>
            </w:r>
            <w:r>
              <w:rPr>
                <w:rFonts w:ascii="Times New Roman"/>
                <w:b w:val="false"/>
                <w:i w:val="false"/>
                <w:color w:val="000000"/>
                <w:sz w:val="20"/>
              </w:rPr>
              <w:t>
</w:t>
            </w:r>
            <w:r>
              <w:rPr>
                <w:rFonts w:ascii="Times New Roman"/>
                <w:b w:val="false"/>
                <w:i w:val="false"/>
                <w:color w:val="000000"/>
                <w:sz w:val="20"/>
              </w:rPr>
              <w:t>(нарастающим итогом с начала</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*применяется среднемесячный курс доллара США к национальной валюте национального (центрального) банка государства - члена Таможенного союза за отчетный месяц.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