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bbe13" w14:textId="6bbbe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по проведению профилактических прививок населению"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января 2012 года № 8. Утратило силу постановлением Правительства Республики Казахстан от 8 сентября 2015 года № 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национальной экономики Республики Казахстан от 6 марта 2015 года № 190.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Кодекса Республики Казахстан от 18 сентября 2009 года «О здоровье народа и системе здравоохранения»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«Санитарно-эпидемиологические требования по проведению профилактических прививок населению».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января 2012 года № 8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Санитарные правила "Санитарно-эпидемиологические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
по проведению профилактических прививок населению"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Санитарные правила "Санитарно-эпидемиологические требования по проведению профилактических прививок населению" (далее - Санитарные правила) устанавливают санитарно-эпидемиологические требования по проведению профилактических прививок.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Санитарных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"открытый флакон" вакцины - флакон вакцины, вводимой инъекционным способом, из которого брали вакцину без удаления пробки проколом шприца;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убитые вакцины - вакцины, приготовленные из убитых или инактивированных микроорганизмов, а также из отдельных компонентов микробной клетки и продуктов их жизнедеятельности;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живые вакцины - вакцины, приготовленные из живых микроорганизмов.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Профилактические прививки населению по эпидемиологическим показаниям и приостановление проведения профилактических прививок в связи с регистрацией поствакцинальных осложнений осуществляются по постановлению Главного государственного санитарного врача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проведения профилактических прививок населению используются медицинские иммунобиологические препараты (вакцины, анатоксины, иммуноглобулины) (далее - ИБП), зарегистрированные и разрешенные в Республике Казахстан.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Санитарно-эпидемиологические требования к проведению</w:t>
      </w:r>
      <w:r>
        <w:br/>
      </w:r>
      <w:r>
        <w:rPr>
          <w:rFonts w:ascii="Times New Roman"/>
          <w:b/>
          <w:i w:val="false"/>
          <w:color w:val="000000"/>
        </w:rPr>
        <w:t>
профилактических прививок населению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Перед применением ИБП необходимо изучить приложенную к ней инструкцию, проверить маркировку и целостность ампулы (флакона), соответствие препарата прилагаемой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Не допускается использование: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адсорбированного дифтерийно-столбнячного анатоксина (далее - АДС), адсорбированного дифтерийно-столбнячного анатоксина с уменьшенным содержанием антигена (далее - АДС-М), адсорбированного дифтерийного анатоксина с уменьшенным содержанием антигена (далее - АД-М), столбнячного анатоксина (далее - АС), вакцин, содержащей адсорбированную коклюшно-дифтерийно-столбнячную вакцину (далее - АКДС-содержащая вакцина), вакцин против вирусных гепатитов, пневмококковой инфекции и инактивированной вакцины против полиомиелита, подвергшихся замораживанию;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вакцин, подвергшихся действию повышенной температуры на основании показаний контрольной карточки-индикатора или индикатора на флаконе вакцины;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ИБП, в том числе вакцин и растворителей с истекшим сроком годности;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вакцин из открытых флаконов при несоблюдении соответствующих требований, предъявляемых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ИБП с нарушением целостности ампул (флаконов);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ИБП с неясной или отсутствующей маркировкой на ампуле (флаконе);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ИБП, не соответствующих описанию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одноразовых шприцев с нарушением целостности упаковки и с истекшим сроком годности.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Лиофилизированные вакцины (против кори, паротита, краснухи, гемофильной инфекции, туберкулеза) растворяют приложенным к вакцине стандартным растворителем при строгом соблюдении правил асептики.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Обработка места введения ИБП производится 70 % спиртом, если нет других указаний в инструкциях, прилагаемых к вакцине.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проведении профилактических прививок используется инструментарий (шприцы, иглы, скарификаторы) одноразового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Допускается совмещение различных видов профилактических прививок в один день, за исключением прививки против туберкулеза. Вакцины вводятся в разные участки тела и разными шприцами.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Если ИБП не вводились в один и тот же день, соблюдается интервал между живыми вакцинами не менее 4-х недель. Интервал между живыми и убитыми вакцинами не соблюдается.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После введения иммуноглобулина или препарата крови введение вакцин против кори, краснухи и паротита откладывается не менее чем на 3 месяца, без интервала между введением иммуноглобулинов или препаратов крови вводятся АКДС-содержащая вакцина, АДС, АДС-М, АД-М, вакцина против туберкулеза, пневмококковой инфекции, оральная вакцина против полиомиелита (далее - ОПВ).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 введения вакцин против кори, паротита, полиомиелита, туберкулеза соблюдается интервал для введения иммуноглобулина не менее чем 2 недели. Не соблюдается интервал после введения АКДС-содержащей вакцины, вакцины против пневмококковой инфекции, АДС, АДС-М, АД-М препаратов.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Использование "открытых флаконов" допускается при соблюдении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истек срок годности препарата;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соблюдается температура 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соблюдается стерильность;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отсутствуют видимые изменения вакцины.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"Открытые флаконы" АКДС-содержащей вакцины, АДС, АДС-М, АД-М, АС, вакцины против полиомиелита, против пневмококковой инфекции, против гепатита "В" и "А" допускаются к использованию в течение 3 дней при соблюдении условий, изложенных в пункте 14 настоящих Санитарных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На этикетке "открытых флаконов" вакцин указывается дата и время открытия флаконов.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Не допускается перенос "открытых флаконов" из одного прививочного кабинета в другой.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Вакцины против кори, краснухи, паротита, туберкулеза, желтой лихорадки используются сразу или в течение 6 часов после разведения, если это допускается инструкцией, с последующим уничтожением остатков вакцин.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ИБП, выпускаемые в ампулах, используются сразу после открытия.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Флаконы, в том числе с остатками вакцин, использованные для иммунизации населения на дому, при выезде прививочными бригадами уничтожаются в конце рабочего дня.</w:t>
      </w:r>
    </w:p>
    <w:bookmarkEnd w:id="6"/>
    <w:bookmarkStart w:name="z5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Санитарно-эпидемиологические требования к помещениям</w:t>
      </w:r>
      <w:r>
        <w:br/>
      </w:r>
      <w:r>
        <w:rPr>
          <w:rFonts w:ascii="Times New Roman"/>
          <w:b/>
          <w:i w:val="false"/>
          <w:color w:val="000000"/>
        </w:rPr>
        <w:t>
для проведения профилактических прививок</w:t>
      </w:r>
    </w:p>
    <w:bookmarkEnd w:id="7"/>
    <w:bookmarkStart w:name="z5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помещении, где проводятся профилактические прививки (далее - прививочный кабинет), не допускается проведение других медицинских процедур (манипуляций).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Внутренняя отделка прививочного кабинета имеет гладкую поверхность, выдерживающую влажную уборку и дезинфекцию. В прививочном кабинете предусматривается наличие: естественного освещения, централизованного водоснабжения, канализации, отопления, раковины для мытья рук. При отсутствии централизованного водоснабжения и канализации в прививочном кабинете создаются условия для соблюдения персоналом санитарно-гигиенического режима и личной гигиены.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Прививочный кабинет оснащается следующим оборудованием: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холодильник достаточной емкости для хранения ИБП;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термоконтейнер или холодильная сумка для транспортировки и хранения ИБП в течение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термоконтейнер для временного хранения ИБП в случае аварийного отключения электроэнергии;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рабочий стол, стулья;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медицинский стол для подготовки ИБП к использованию;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медицинский шкаф для хранения инструментов и лекарственных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пеленальный стол и (или) медицинская кушетка;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бикс со стерильным материалом;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тонометр, термометры, одноразовые шприцы, шпатели;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емкость для обеззараживания остатков ИБП;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коробка для безопасной утилизации использованных одноразовых шприцев (далее - КБУ).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Прививочный кабинет обеспечивается лекарственными препаратами противошоковой терапии: 0,1 процентный (далее - %) раствор адреналина, 1 % раствор мезатона, преднизолон (дексаметазон, гидрокортизон), 1 % тавегил (2,0 % супрастин), 2,4 % эуфиллин, 0,05 % строфантин, корглюкон, кордиамин.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состав выездной прививочной бригады, укомплектованной автотранспортом, термоконтейнером, прививочным материалом, одноразовыми шприцами, противошоковыми препаратами входит квалифицированный врач и прививочная медицинская сестра.</w:t>
      </w:r>
    </w:p>
    <w:bookmarkEnd w:id="8"/>
    <w:bookmarkStart w:name="z6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Санитарно-эпидемиологические требования к</w:t>
      </w:r>
      <w:r>
        <w:br/>
      </w:r>
      <w:r>
        <w:rPr>
          <w:rFonts w:ascii="Times New Roman"/>
          <w:b/>
          <w:i w:val="false"/>
          <w:color w:val="000000"/>
        </w:rPr>
        <w:t>
введению вакцин и наблюдению за состоянием привитого</w:t>
      </w:r>
      <w:r>
        <w:br/>
      </w:r>
      <w:r>
        <w:rPr>
          <w:rFonts w:ascii="Times New Roman"/>
          <w:b/>
          <w:i w:val="false"/>
          <w:color w:val="000000"/>
        </w:rPr>
        <w:t>
в поствакцинальном периоде</w:t>
      </w:r>
    </w:p>
    <w:bookmarkEnd w:id="9"/>
    <w:bookmarkStart w:name="z7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Профилактическая прививка проводится после осмотра прививаемого врачом, при отсутствии врача - фельдшером, который при отсутствии противопоказаний к иммунизации оформляет допуск к проведению прививки в медицинском документе прививаемого.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После получения прививки привитые лица в течение 30 минут находятся в организации здравоохранения под наблюдением медицинского работника, для принятия мер в случае возникновения поствакцинальных осложнений или нехарактерных поствакцинальных реакций (далее - ПВО или ПВР). В последующем медицинским работником сельской врачебной амбулатории (далее - СВА), участковым медицинским работником поликлиники обеспечивается наблюдение на дому - в первые три дня после введения убитой или инактивированной вакцины и на 5-6 и 10-11 день после введения живой вакцины.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После введения АКДС-содержащей вакцины проводится профилактика поствакцинальных осложнений с дачей парацетамола привитому лицу через 1 час после прививки каждые 6 часов, но не более 4-х раз в сутки в дозировке 10-15 миллиграмм на 1 килограмм веса в течение 1-3 суток.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Медицинский работник при осмотре проводит разъяснительную работу с прививаемыми лицами или родителями прививаемых детей о необходимости обращения за медицинской помощью в случае возникновения нехарактерной реакции на вакцинацию.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Медицинский работник, получивший вызов к привитому лицу, немедленно обслуживает данный вызов, оказывает неотложную медицинскую помощь и при показаниях госпитализирует его. В случае подозрения на ПВО или ПВР медицинский работник немедленно передает экстренное извещение.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Каждый случай ПВО или ПВР подлежит немедленному расследованию, которое начинает проводить медицинский работник, первый поставивший диагноз. В последующем к расследованию подключается бригада специалистов территориальных органов государственного санитарно-эпидемиологического надзора (далее - ГСЭН) и управлений здравоохранения. В случае необходимости в бригаду включают невропатолога, аллерголога, фтизиатра, инфекциониста, патологоанатома и других специалистов. По результатам расследования оформляется отчет о ПВО или ПВР,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правилам, который в течение 10 дней с момента регистрации случая ПВО или ПВР предоставляется в Комитет ГСЭН Министерства здравоохранения Республики Казахстан (далее - МЗ РК). При летальном исходе прилагается копия протокола патологоанатомического вскрытия и гистологического исследования.</w:t>
      </w:r>
    </w:p>
    <w:bookmarkEnd w:id="10"/>
    <w:bookmarkStart w:name="z7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Санитарно-эпидемиологические требования к учету</w:t>
      </w:r>
      <w:r>
        <w:br/>
      </w:r>
      <w:r>
        <w:rPr>
          <w:rFonts w:ascii="Times New Roman"/>
          <w:b/>
          <w:i w:val="false"/>
          <w:color w:val="000000"/>
        </w:rPr>
        <w:t>
контингента детей, подлежащих профилактическим прививкам</w:t>
      </w:r>
      <w:r>
        <w:br/>
      </w:r>
      <w:r>
        <w:rPr>
          <w:rFonts w:ascii="Times New Roman"/>
          <w:b/>
          <w:i w:val="false"/>
          <w:color w:val="000000"/>
        </w:rPr>
        <w:t>
и учет выполненных профилактических прививок</w:t>
      </w:r>
    </w:p>
    <w:bookmarkEnd w:id="11"/>
    <w:bookmarkStart w:name="z8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Для обеспечения полного охвата профилактическими прививками подлежащего иммунизации контингента проводится учет детей, проживающих на территории, силами медицинских работников организаций здравоохранения (фельдшерский акушерский пункт, СВА, поликлиника) 2 раза в год (весна-осень), с внесением изменений в составе детского населения в журнал переписи.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Проводится ежемесячное наблюдение за динамикой детского населения, с внесением в журнал переписи пофамильных данных о родившихся, умерших, прибывших или убывших лицах.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Активное выявление детей, прибывших на обслуживаемый участок, осуществляется при посещении медицинским работником больных на дому, при обращении их за медицинской помощью в организации здравоохранения, консультативно-диагностические поликлиники (далее - КДП), при выборочном контроле достоверности учета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Учет взрослого контингента проводится силами медицинских работников организаций здравоохранения один раз в год перед составлением планов профилактических прививок (август-сентябрь).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Суммарные данные о количестве населения, проживающего на обслуживаемой территории по возрастным группам, передаются в течение 14 дней после окончания учета в территориальные органы ГСЭН и местные органы государственного управления здравоохранением областей, города республиканского значения и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Учет профилактических прививок, осуществляется соответствующими записями в учетных формах, которые хранятся в организациях здравоохранения по месту проведения прививок.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Персональный учет профилактических прививок ведется в прививочном паспорте.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Координация и контроль полноты учета и охвата населения прививками возложены на территориальные организации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участковые врачи составляют годовые планы профилактических прививок, организуют проведение прививок и ежемесячно сдают отчеты о профилактических прививках и движении вакцин в КДП;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КДП делают свод плана профилактических прививок, свод ежемесячных отчетов о профилактических прививках и движении вакцин;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КДП предоставляет сводный план профилактических прививок и сводные ежемесячные отчеты о движении вакцин в территориальные управления здравоохранения, сводные ежемесячные отчеты о профилактических прививках в территориальные органы ГСЭН.</w:t>
      </w:r>
    </w:p>
    <w:bookmarkEnd w:id="12"/>
    <w:bookmarkStart w:name="z9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
к учету и отчетности о движении вакцин и растворителей</w:t>
      </w:r>
    </w:p>
    <w:bookmarkEnd w:id="13"/>
    <w:bookmarkStart w:name="z9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Организации здравоохранения, проводящие профилактические прививки населению проводят учет вакцин, растворителей и других ИБП.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Организации здравоохранения, проводящие профилактические прививки населению в установленные сроки представляют ежемесячные отчеты о движении вакцин в территориальные управления здравоохранения и отчеты о профилактических прививках - в территориальные органы ГСЭН.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Для предотвращения избыточного запаса ИБП, на складах областного уровня управлений здравоохранения вакцина хранится в объеме не более 6 месячного запаса, городского/районного уровня - не более 3 месячного и в организации здравоохранения, проводящей прививки - не более месячного запаса.</w:t>
      </w:r>
    </w:p>
    <w:bookmarkEnd w:id="14"/>
    <w:bookmarkStart w:name="z9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Санитарно-эпидемиологические требования к уничтожению</w:t>
      </w:r>
      <w:r>
        <w:br/>
      </w:r>
      <w:r>
        <w:rPr>
          <w:rFonts w:ascii="Times New Roman"/>
          <w:b/>
          <w:i w:val="false"/>
          <w:color w:val="000000"/>
        </w:rPr>
        <w:t>
неиспользованных остатков иммунобиологических препаратов</w:t>
      </w:r>
    </w:p>
    <w:bookmarkEnd w:id="15"/>
    <w:bookmarkStart w:name="z9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Ампулы и флаконы, содержащие неиспользованные остатки ИБП, обеззараживаются и уничтожаются медицинским работником, проводившим прививку, одним из следующих способов: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кипячением в течение 30 минут (вакцины против сибирской язвы - 2 часа);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погружением в дезинфицирующее средство, зарегистрированное и разрешенное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В целях недопущения травм и заражения, использованные одноразовые шприцы и иглы не разбираются, не подвергаются деформации, не допускается их промывка и дезинфекция, они подлежат сбору и утилизации.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Сразу после использования одноразовые шприцы и иглы сбрасываются в непрокалываемые, водонепроницаемые КБУ и утилизируются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Если 1 % ампул (флаконов) в партии ИБП не соответствуют требованиям приложенной к ней инструкции, то вся партия ИБП подлежит уничтожению, способом, указанным в пункте 43 настоящих санитарных правил.</w:t>
      </w:r>
    </w:p>
    <w:bookmarkEnd w:id="16"/>
    <w:bookmarkStart w:name="z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«Санитарно-эпидемиологические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по проведению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профилактических прививок населению»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</w:t>
      </w:r>
      <w:r>
        <w:br/>
      </w:r>
      <w:r>
        <w:rPr>
          <w:rFonts w:ascii="Times New Roman"/>
          <w:b/>
          <w:i w:val="false"/>
          <w:color w:val="000000"/>
        </w:rPr>
        <w:t>
о поствакцинальных осложнениях или поствакцинальных реакциях (включать состояния, не относящиеся к сопутствующим заболеваниям)*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1"/>
        <w:gridCol w:w="2776"/>
        <w:gridCol w:w="1465"/>
        <w:gridCol w:w="2797"/>
        <w:gridCol w:w="2518"/>
        <w:gridCol w:w="1903"/>
      </w:tblGrid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рождения,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день, месяц,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вакцины,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(день, месяц,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год), доза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проводившая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вакцинацию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6"/>
        <w:gridCol w:w="1810"/>
        <w:gridCol w:w="1099"/>
        <w:gridCol w:w="1393"/>
        <w:gridCol w:w="2143"/>
        <w:gridCol w:w="2412"/>
        <w:gridCol w:w="2567"/>
      </w:tblGrid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вакцины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Реакция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серию)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иммунизации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область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8"/>
        <w:gridCol w:w="1999"/>
        <w:gridCol w:w="1781"/>
        <w:gridCol w:w="2118"/>
        <w:gridCol w:w="2059"/>
        <w:gridCol w:w="1504"/>
        <w:gridCol w:w="1801"/>
      </w:tblGrid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пившей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реакций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реакций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выздоро-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3"/>
        <w:gridCol w:w="1893"/>
        <w:gridCol w:w="1513"/>
        <w:gridCol w:w="1413"/>
      </w:tblGrid>
      <w:tr>
        <w:trPr>
          <w:trHeight w:val="3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поствакцинальной реакции **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</w:tr>
      <w:tr>
        <w:trPr>
          <w:trHeight w:val="3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Местная реакция в месте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вакцинации: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инфицированный абсцесс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стерильный абсцесс/узелок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обширная припухлость,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захватывающая близлежащую(ие)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область(и)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лимфаденит (БЦЖ-ит)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припухлость околоушных желез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Общие реакции: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лихорадка (температура тела 39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выше)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реакция Центральной 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судороги фебрильные/энцефалопатия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судороги афебрильные/энцефалит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судороги в анамнезе (фебрильные,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афебрильные подчеркнуть)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необычный плач (пронзительный крик,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более 2 часов)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серозный менингит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острый вялый паралич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Аллергическая реакция: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анафилактический шок (внезапный,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приводящий к кардиоваскулярному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коллапсу, бронхоспазму, отеку гортани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 необходимости метода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искусственного дыхания)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сосудистая реакция (резкая,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нарастающая бледность кожных покровов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акроцианозом - картина острой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надпочечниковой недостаточности)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сыпь (крапивница, отек Квинке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сыпь геморрагическая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Все случаи смерти,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подозреваются медицинскими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работниками или населением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вакцинацией.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Все случаи госпитализации,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иммунизацией.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Отчет составляется и предоставляется в Комитет ГСЭН МЗ РК не позднее 15 дней после регистрации случая ПВО или ПВР по данной схеме.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**Интервалы между вакцинацией и началом реакции отметить в минутах, часах и днях.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