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5e64" w14:textId="b59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акцизных постов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61.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акцизных постов.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2012 года № 61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акцизных постов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акцизных постов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"О налогах и других обязательных платежах в бюджет" (Налоговый кодекс) и определяют порядок организации деятельности акцизных постов.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налогоплательщиков по адресу, указанному в лицензии, непосредственно в местах осуществления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бензина (за исключением авиационного),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Акцизные посты также устанавливаются на территории налогоплательщика, при осуществлении: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перемещения нефти и нефтепродуктов по магистральным нефтепродуктопроводам;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перемещение нефти и нефтепродуктов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оптовой реализации алкогольной продукции, табачных изделий, бензина (за исключением авиационного),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Акцизные посты, указанные в пункте 3 настоящих Правил (за исключением акцизных постов устанавливаемых на территории налогоплательщиков осуществляющих перемещение нефти и нефтепродуктов по магистральным нефтепродуктопроводом), устанавливаются на период с даты получения подакцизных товаров указанной в уведомлении, представляемом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даты принятия на учет импортированных подакцизных товаров.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деятельности акцизных постов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Оперативное руководство и координация деятельности акцизных постов осуществляется руководителями налоговых органов по областям, городам Алматы и Астана по месту регистрации налогоплательщика по отдельным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Организация, места нахождения и состав работников акцизных постов, регламент их работы в соответствии с режимом работы налогоплательщика определяются приказом руководителя налогового органа по месту регистрации налогоплательщика по отдельным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 акцизного поста формируется из числа должностных лиц налогового органа по месту регистрации налогоплательщика по отдельным видам деятельности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при осуществлении действий, указанных в настоящих Правилах, руководствуются нормами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вопросам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производства и оборота отдельных видов подакцизных товаров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акцизного поста определяется в соответствии с режимом работы налогоплательщиков,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Налогового кодекса налогоплательщики осуществляющие перемещение подакцизных товаров (за исключением легковых автомобилей и подакцизных товаров, перемещаемых по магистральным трубопроводам) на территорию Республики Казахстан из государств - членов Таможенного союза, уведомляют не менее чем за три рабочих дня налоговые органы по месту получения указанных товаров о предстоящей дате их получения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Налоговые органы по месту получения уведомлений указанных в пункте 9 настоящих Правил ведут их учет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Должностное лицо на период нахождения на акцизном посту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присутствовать при отгрузке, разгрузке (приемке), перемещении основного сырья, вспомогательных материалов, отдельных видов подакцизных товаров и сверять их объемы с данными, указанными в товаро-сопроводительных документах и принятыми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посредством специальных приборов выборочную проверку подлинности учетно-контрольных марок на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 завершения приемки (разгрузки) ввозимой подакцизной продукции в текущем рабочем дне, совместно с ответственным работником предприятия опечатывать и (или) пломбировать на нерабочий период времени складские помещения, транспортные средства и проверять наличие подакцизных товаров и их целостность;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опечатывать и (или) пломбировать на нерабочий период времени и время простоя: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отдельных видов подакцизных товаров таким образом, чтобы исключалось их использование и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(вентили) подачи сырой нефти, нефтепродуктов в производство отдельных видов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въездные и выездные ворота производителя или оптовика (по согласованию с производителем или оптовиком);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купажного цеха производителя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выпускных трубопроводов предприятия, осуществляющего компаундирование нефтепродуктов и мининефтеперерабатывающего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работ по опечатыванию или опломбированию составляет акт опечатывания или опломбирования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чрезвычайных ситуаций природного и техногенного характера, указанные опечатки и пломбы снимаются представителями производителя или оптовика.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чрезвычайной ситуации природного и техногенного характера подтверждается уполномоченным органом в области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в пределах своих полномочий от руководителя и других должностных лиц производителя или оптовика сведения и документы по производству и обороту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обследовать административные, производственные, складские, торговые, подсобные помещения налогоплательщика, без права вмешательства в хозяйственную деятельность с прохождением при необходимости инструктажа по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осматривать транспортные средства, выезжающие (въезжающие) с территории (на территорию) производителя или оптовика;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снятие остатков отдельных видов подакцизных товаров, а также основного сырья и вспомогательных материалов, указанных в настоящих Правилах, составлять акт снятия остатков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запрашивать у налогоплательщиков наличие регистрационной карточки по отдельным видам деятельности на соответствующий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контроль за отводом и (или) отпуском нефти, бензина (за исключением авиационного), дизельного топлива, объем которых определяется объемно-массовым методом.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лицо, находящееся на акцизном посту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налогоплательщиком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регулирующего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реализацию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наличием у покупателя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принятием на учет импортированных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отводом и (или) отпуском подакцизных товаров исключительно через измеряющие аппараты или реализацией (розливом) через приборы учета, а также эксплуатацией последних в опломбированном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соблюдением налогоплательщиком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отдельных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подакцизных товаров учетно-контрольными или акцизными марками;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соблюдением налогоплательщиком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сопроводительных накладных на отдельные виды подакцизных товаров при их отпуске;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правильностью применения ставок акцизов на подакцизные товары, своевременностью и полнотой уплаты акцизов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движением основного сырья для производства подакцизных товаров, вспомогательных материалов, готовой продукции, учетно-контрольных марок или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Должностное лицо, находящееся на акцизном посту: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присутствует при приемке основного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демонтаже, замене или вводе нового оборудования, используемого в производстве отдельных видов подакцизных товаров, в срок не более одного рабочего дня информирует в письменном виде налоговый орган и Налоговый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фиксирует показания приборов учета на начало и завершение промывки линий розлива алкогольной продукции совместно с ответственным работником производителя алкогольной продукции (кроме насыщенной двуокисью углерода и виноматериала);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фиксирует показания приборов учета (при наличии) отдельных видов нефтепродуктов на начало и завершение рабочего дня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второй день после дежурства на акцизном посту установленного на территории производителя посредством информационной системы "Акциз" обеспечивает передачу в Налоговый комитет ежедневных отчетов по объемам производства и реализации этилового спирта, алкогольной продукции (кроме виноматериала), бензина (за исключением авиационного) и дизельного топлива, по форме,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передает сведения по ввезенной алкогольной продукции, табачных изделий, бензина (за исключением авиационного), дизельного топлива, в налоговый орган по месту регистрации налогоплательщика по отдельным видам деятельности для составления ежемесячного отчета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обнаружения срыва или искажения опечатки или пломбы (за исключением возникновения чрезвычайных ситуаций), либо искажения показаний спиртоизмеряющих аппаратов, контрольных приборов учета, обнаружения учетно-контрольных или акцизных марок неустановленного образца и (или) не поддающихся идентификации, отсутствия учетно-контрольной марки на алкогольной продукции, акцизных марок на табачных изделиях составляет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в срок не позднее одного рабочего дня с момента их обнаружения в письменном виде доводятся до вышестоящего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Должностное лицо, находящееся на акцизном посту, установленного у налогоплательщика, осуществляющего перемещение нефти и нефтепродуктов магистральным нефтепродуктопроводом, железнодорожным транспортом: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фиксирует показания приборов учета нефти и нефтепродуктов (при наличии) на начало и завершение рабочего дня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присутствует при приемке и отгрузке нефти, бензина (за исключением авиационного), дизельного топлива, объем которых определяется объемно-массовым методом;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сведения по перемещенным на территорию Республики Казахстан из государств - членов Таможенного союза нефти и нефтепродуктам магистральным нефтепродуктопроводом, железнодорожным транспортом в налоговый орган по месту регистрации налогоплательщика по отдельным видам деятельности для составления ежемесячного отчета, указанного в пункте 15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Налоговый орган по месту регистрации налогоплательщика ежемесячно не позднее 10-го числа месяца следующего за отчетным месяцем посредством информационной системы обеспечивает передачу в Налоговый комитет отчетов по перемещенным на территорию Республики Казахстан из государств - членов Таможенного союза нефти и нефтепродуктам, ввезенной из государств - членов Таможенного союза алкогольной продукции, табачных изделий, бензина (за исключением авиационного), дизельного топлива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Должностное лицо, находящееся на акцизном посту установленного на территории производителя этилового спирта, алкогольной продукции, табачных изделий, бензина (за исключением авиационного), дизельного топлива ежедневно ведет журналы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объемы нефтепродуктов, используемых в качестве сырья при компаундировании, отражаются в журнале движения основного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Журналы пронумеровываются, прошнуровываются и скрепляются подписью руководителя и печатью соответствующего налогового органа.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деятельностью акцизных постов осуществляется посредством анализа представленных налоговыми органами в Налоговый комитет данных и проведения проверок акцизных постов налоговыми органами и Налоговым комитетом.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предстоящей дате получения</w:t>
      </w:r>
      <w:r>
        <w:br/>
      </w:r>
      <w:r>
        <w:rPr>
          <w:rFonts w:ascii="Times New Roman"/>
          <w:b/>
          <w:i w:val="false"/>
          <w:color w:val="000000"/>
        </w:rPr>
        <w:t>
подакцизных товаров (за исключением легковых автомобилей и</w:t>
      </w:r>
      <w:r>
        <w:br/>
      </w:r>
      <w:r>
        <w:rPr>
          <w:rFonts w:ascii="Times New Roman"/>
          <w:b/>
          <w:i w:val="false"/>
          <w:color w:val="000000"/>
        </w:rPr>
        <w:t>
подакцизных товаров перемещаемых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
трубопроводам), из государств – членов Таможенного союза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______________________, БИН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регистрационной карточке в налоговых органах по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видам деятельности: дата выдачи ____ _____________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государственной лицензии на хранение и оптовую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выдачи ___ ________ 20__ года,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выдачи ___ ________ 20__ года, №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2828"/>
        <w:gridCol w:w="2989"/>
        <w:gridCol w:w="1631"/>
        <w:gridCol w:w="1671"/>
        <w:gridCol w:w="3629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- дал,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шт., для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дизельного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- тонн)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уполномоченного представителя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______________/____________________/_________________________________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   (подпись уведомителя)         (Ф.И.О. уведомителя)</w:t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уведомлений о предстоящей дате получения</w:t>
      </w:r>
      <w:r>
        <w:br/>
      </w:r>
      <w:r>
        <w:rPr>
          <w:rFonts w:ascii="Times New Roman"/>
          <w:b/>
          <w:i w:val="false"/>
          <w:color w:val="000000"/>
        </w:rPr>
        <w:t>
подакцизных товаров (за исключением легковых автомобилей и</w:t>
      </w:r>
      <w:r>
        <w:br/>
      </w:r>
      <w:r>
        <w:rPr>
          <w:rFonts w:ascii="Times New Roman"/>
          <w:b/>
          <w:i w:val="false"/>
          <w:color w:val="000000"/>
        </w:rPr>
        <w:t>
подакцизных товаров перемещаемых по магистральным</w:t>
      </w:r>
      <w:r>
        <w:br/>
      </w:r>
      <w:r>
        <w:rPr>
          <w:rFonts w:ascii="Times New Roman"/>
          <w:b/>
          <w:i w:val="false"/>
          <w:color w:val="000000"/>
        </w:rPr>
        <w:t>
трубопроводам), из государств – членов Таможенного союза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197"/>
        <w:gridCol w:w="1745"/>
        <w:gridCol w:w="1548"/>
        <w:gridCol w:w="1548"/>
        <w:gridCol w:w="1746"/>
        <w:gridCol w:w="1746"/>
        <w:gridCol w:w="2119"/>
        <w:gridCol w:w="1879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опечатывания или опломбирования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867"/>
        <w:gridCol w:w="1239"/>
        <w:gridCol w:w="1610"/>
        <w:gridCol w:w="1457"/>
        <w:gridCol w:w="1742"/>
        <w:gridCol w:w="3689"/>
        <w:gridCol w:w="2925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опечаты-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опломби-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 пломбиратора,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одноразовой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контрольной пломбы,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опечатки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наложенных пломб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опечаток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работника акцизного поста 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работника акцизного поста 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снятия остатков отдельных видов подакцизных товаров, а также</w:t>
      </w:r>
      <w:r>
        <w:br/>
      </w:r>
      <w:r>
        <w:rPr>
          <w:rFonts w:ascii="Times New Roman"/>
          <w:b/>
          <w:i w:val="false"/>
          <w:color w:val="000000"/>
        </w:rPr>
        <w:t>
основного сырья и вспомогательных материалов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770"/>
        <w:gridCol w:w="1326"/>
        <w:gridCol w:w="1526"/>
        <w:gridCol w:w="1481"/>
        <w:gridCol w:w="1393"/>
        <w:gridCol w:w="1504"/>
        <w:gridCol w:w="1704"/>
        <w:gridCol w:w="3995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- дал,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шт., для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дизельного топлива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тонн)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работника акцизного поста 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работника акцизного поста 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9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показаний приборов учета на начало и завершение</w:t>
      </w:r>
      <w:r>
        <w:br/>
      </w:r>
      <w:r>
        <w:rPr>
          <w:rFonts w:ascii="Times New Roman"/>
          <w:b/>
          <w:i w:val="false"/>
          <w:color w:val="000000"/>
        </w:rPr>
        <w:t>
промывки линий розлива алкогольной продукции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884"/>
        <w:gridCol w:w="1352"/>
        <w:gridCol w:w="1531"/>
        <w:gridCol w:w="1531"/>
        <w:gridCol w:w="2066"/>
        <w:gridCol w:w="1687"/>
        <w:gridCol w:w="1955"/>
        <w:gridCol w:w="2692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(СУАП)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показаний приборов учета отдельных видов нефтепродуктов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839"/>
        <w:gridCol w:w="1352"/>
        <w:gridCol w:w="1932"/>
        <w:gridCol w:w="1486"/>
        <w:gridCol w:w="1442"/>
        <w:gridCol w:w="1687"/>
        <w:gridCol w:w="1844"/>
        <w:gridCol w:w="3072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bookmarkStart w:name="z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объемах производства и реализации предприятиями,</w:t>
      </w:r>
      <w:r>
        <w:br/>
      </w:r>
      <w:r>
        <w:rPr>
          <w:rFonts w:ascii="Times New Roman"/>
          <w:b/>
          <w:i w:val="false"/>
          <w:color w:val="000000"/>
        </w:rPr>
        <w:t>
производящими этиловый спирт и/или алкогольную продукцию по</w:t>
      </w:r>
      <w:r>
        <w:br/>
      </w:r>
      <w:r>
        <w:rPr>
          <w:rFonts w:ascii="Times New Roman"/>
          <w:b/>
          <w:i w:val="false"/>
          <w:color w:val="000000"/>
        </w:rPr>
        <w:t>
данным акцизного поста по состоянию на __________________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301"/>
        <w:gridCol w:w="1319"/>
        <w:gridCol w:w="1518"/>
        <w:gridCol w:w="867"/>
        <w:gridCol w:w="1302"/>
        <w:gridCol w:w="1729"/>
        <w:gridCol w:w="2930"/>
        <w:gridCol w:w="1519"/>
      </w:tblGrid>
      <w:tr>
        <w:trPr>
          <w:trHeight w:val="94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этилового спирта и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отчетном периоде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бутылок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розлитой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бутылки)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даллах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12"/>
        <w:gridCol w:w="862"/>
        <w:gridCol w:w="711"/>
        <w:gridCol w:w="525"/>
        <w:gridCol w:w="602"/>
        <w:gridCol w:w="568"/>
        <w:gridCol w:w="626"/>
        <w:gridCol w:w="720"/>
        <w:gridCol w:w="501"/>
        <w:gridCol w:w="1014"/>
        <w:gridCol w:w="728"/>
        <w:gridCol w:w="863"/>
        <w:gridCol w:w="880"/>
        <w:gridCol w:w="745"/>
        <w:gridCol w:w="880"/>
        <w:gridCol w:w="1049"/>
      </w:tblGrid>
      <w:tr>
        <w:trPr>
          <w:trHeight w:val="9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измеряющих аппаратов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со стороны или 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 продукции</w:t>
            </w:r>
          </w:p>
        </w:tc>
      </w:tr>
      <w:tr>
        <w:trPr>
          <w:trHeight w:val="1995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V-(литр),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N1-(бут.),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N2-(бут.)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V-(литр),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N1-(бут.),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N2-(бут.) 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рат)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637"/>
        <w:gridCol w:w="3268"/>
        <w:gridCol w:w="1320"/>
        <w:gridCol w:w="1673"/>
        <w:gridCol w:w="2007"/>
        <w:gridCol w:w="1524"/>
      </w:tblGrid>
      <w:tr>
        <w:trPr>
          <w:trHeight w:val="9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этилового спирта и алкогольной продукции юр. или физ.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в отчетном периоде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в штуках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бутылок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розлитой в бутылки)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даллах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Ежедневный отчет об объемах реализации (отгрузки)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по данным акцизного поста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_________________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247"/>
        <w:gridCol w:w="1180"/>
        <w:gridCol w:w="1113"/>
        <w:gridCol w:w="674"/>
        <w:gridCol w:w="1062"/>
        <w:gridCol w:w="927"/>
        <w:gridCol w:w="978"/>
        <w:gridCol w:w="1012"/>
        <w:gridCol w:w="1117"/>
        <w:gridCol w:w="1100"/>
        <w:gridCol w:w="1100"/>
        <w:gridCol w:w="1033"/>
      </w:tblGrid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родукта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дной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ладной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5"/>
    <w:bookmarkStart w:name="z1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показаний приборов учета нефти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налогоплательщиков, осуществляющих перемещение</w:t>
      </w:r>
      <w:r>
        <w:br/>
      </w:r>
      <w:r>
        <w:rPr>
          <w:rFonts w:ascii="Times New Roman"/>
          <w:b/>
          <w:i w:val="false"/>
          <w:color w:val="000000"/>
        </w:rPr>
        <w:t>
нефти и нефтепродуктов магистральным нефтепродуктопроводом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814"/>
        <w:gridCol w:w="1369"/>
        <w:gridCol w:w="1347"/>
        <w:gridCol w:w="2058"/>
        <w:gridCol w:w="1681"/>
        <w:gridCol w:w="1703"/>
        <w:gridCol w:w="1925"/>
        <w:gridCol w:w="2816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8"/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перемещенным на территорию Республики Казахстан из</w:t>
      </w:r>
      <w:r>
        <w:br/>
      </w:r>
      <w:r>
        <w:rPr>
          <w:rFonts w:ascii="Times New Roman"/>
          <w:b/>
          <w:i w:val="false"/>
          <w:color w:val="000000"/>
        </w:rPr>
        <w:t>
государств–членов Таможенного союза нефти и нефтепродуктам,</w:t>
      </w:r>
      <w:r>
        <w:br/>
      </w:r>
      <w:r>
        <w:rPr>
          <w:rFonts w:ascii="Times New Roman"/>
          <w:b/>
          <w:i w:val="false"/>
          <w:color w:val="000000"/>
        </w:rPr>
        <w:t>
ввезенным из государств–членов Таможенного союза 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продукции, табачных изделий, бензина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авиационного), дизельного топлива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налоговый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322"/>
        <w:gridCol w:w="1189"/>
        <w:gridCol w:w="1189"/>
        <w:gridCol w:w="1322"/>
        <w:gridCol w:w="1057"/>
        <w:gridCol w:w="1057"/>
        <w:gridCol w:w="1188"/>
        <w:gridCol w:w="924"/>
        <w:gridCol w:w="1453"/>
        <w:gridCol w:w="1849"/>
      </w:tblGrid>
      <w:tr>
        <w:trPr>
          <w:trHeight w:val="43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вителя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1"/>
    <w:bookmarkStart w:name="z10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движения основного сырья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724"/>
        <w:gridCol w:w="1150"/>
        <w:gridCol w:w="1294"/>
        <w:gridCol w:w="1869"/>
        <w:gridCol w:w="1725"/>
        <w:gridCol w:w="1150"/>
        <w:gridCol w:w="1581"/>
        <w:gridCol w:w="2013"/>
      </w:tblGrid>
      <w:tr>
        <w:trPr>
          <w:trHeight w:val="132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основного сырья (тонн, дал.)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4"/>
    <w:bookmarkStart w:name="z11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движения учетно-контрольных марок и акцизных марок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672"/>
        <w:gridCol w:w="1504"/>
        <w:gridCol w:w="1840"/>
        <w:gridCol w:w="2174"/>
        <w:gridCol w:w="1170"/>
        <w:gridCol w:w="1673"/>
        <w:gridCol w:w="2176"/>
      </w:tblGrid>
      <w:tr>
        <w:trPr>
          <w:trHeight w:val="39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учетно-контрольных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марок, штук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дня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46"/>
    <w:bookmarkStart w:name="z1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7"/>
    <w:bookmarkStart w:name="z11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движения стеклотары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850"/>
        <w:gridCol w:w="1189"/>
        <w:gridCol w:w="1982"/>
        <w:gridCol w:w="2245"/>
        <w:gridCol w:w="1321"/>
        <w:gridCol w:w="3699"/>
      </w:tblGrid>
      <w:tr>
        <w:trPr>
          <w:trHeight w:val="315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стеклотары, штук.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дня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