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b83a" w14:textId="d2b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отдельным видам (подвидам) лицензируемой деятельности в сфере архитектуры, градостроительства и строительства,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162. Утратило силу постановлением Правительства Республики Казахстан от 5 февраля 2013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05.02.2013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16 июля 2001 года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отдельным видам (подвидам) лицензируемой деятельности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555 «Об утверждении Правил лицензирования деятельности и квалификационных требований в сфере архитектуры, градостроительства и строительства» (САПП Республики Казахстан, 2007 г., № 23, ст. 261);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422 «О внесении изменения в постановление Правительства Республики Казахстан от 30 июня 2007 года № 555» (САПП Республики Казахстан, 2008 г., № 23, ст. 221).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162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отдельным видам (подвидам)</w:t>
      </w:r>
      <w:r>
        <w:br/>
      </w:r>
      <w:r>
        <w:rPr>
          <w:rFonts w:ascii="Times New Roman"/>
          <w:b/>
          <w:i w:val="false"/>
          <w:color w:val="000000"/>
        </w:rPr>
        <w:t>
лицензируемой деятельности в сфере</w:t>
      </w:r>
      <w:r>
        <w:br/>
      </w:r>
      <w:r>
        <w:rPr>
          <w:rFonts w:ascii="Times New Roman"/>
          <w:b/>
          <w:i w:val="false"/>
          <w:color w:val="000000"/>
        </w:rPr>
        <w:t>
архитектуры, градостроительства и строительства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требования, предъявляемые к отдельным видам (подвидам) лицензируемой деятельности в сфере архитектуры, градостроительства и строительства (далее – квалификационные требования), устанавливают требования к заявителям или лицензиатам для получения лицензии на осуществление проектной и изыскательской деятельности, строительно-монтажных работ.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 для занятия</w:t>
      </w:r>
      <w:r>
        <w:br/>
      </w:r>
      <w:r>
        <w:rPr>
          <w:rFonts w:ascii="Times New Roman"/>
          <w:b/>
          <w:i w:val="false"/>
          <w:color w:val="000000"/>
        </w:rPr>
        <w:t>
изыскательской деятельностью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для занятия изыскательской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изыскательской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изыскательской деятельности, и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образования в области изыскательской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 и/или аренды,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грунтоведческой (химической) лабораторией для инженерно-геологических и/или инженерно-гидрогеологических изысканий;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контрольно-измерительных приборов, инструментов, механизмов, приспособлений, которые используются в зависимости от технических требований, необходимых для выполнения заявленных работ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для занятия проектной деятельностью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лицензиатам ІІІ категории для занятия проектной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 и/или аренды,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лицензиатам ІІ категории для занятия проектной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 и/или аренды,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системы охраны труда и техники безопасности с приложением документов, подтверждающих обучение ответственного инженерно-технического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лицензиата не менее пяти лет, при этом опыт работы исчисляется с момента получения лицензии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положительных отзывов от заказчиков, либо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лицензиатам І категории для занятия проектной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работы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деятельности, и трудовой стаж (трудовая деятельность) работы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лицензиата не менее десяти лет, при этом опыт работы исчисляется с момента получения лицензии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десяти реализованных объектов строительства первого и/или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положительных отзывов от заказчиков, либо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20 % от общего числа инженерно-технических работников лицензиата, выполняющих работы по совместительству.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Квалификационные требования для занятия строительно-монтажными работами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лицензиатам ІІІ категории для занятия строительно-монтажными работами: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двух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не менее трех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двух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 и/или аренды,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лицензиатам ІІ категории для занятия строительно-монтажными работами: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не менее десяти лет в качестве исполнителя (работника) 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 и/или аренды,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лицензиата не менее пяти лет, при этом опыт работы исчисляется с момента получения лицензии на осуществление строительно-монтажных работ, либо опыт работы не менее пяти лет в качестве лицензиата ІІІ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положительных отзывов от заказчиков, либо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лицензиатам І категории для занятия строительно-монтажными работами: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квалификационному составу заявителя (лицензиата):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производственной базы на праве собственности (хозяйственного ведения или оперативного управления), оснащенной: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лицензиата не менее десяти лет, при этом опыт работы исчисляется с момента получения лицензии на осуществление строительно-монтажных работ, либо опыт работы не менее пяти лет в качестве лицензиата ІІ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десяти реализованных объектов строительства первого и/или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и/или второго уровней ответственности, на которых лицензиат реализовал работы по договорам субподряда с представлением документального подтверждения (копии подписанных актов выполненных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положительных отзывов от заказчиков, либо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20 % от общего числа инженерно-технических работников лицензиата, выполняющих работы по совместительству.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