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821c" w14:textId="c9b8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гигиенических нормативов "Санитарно-эпидемиологические требования к обеспечению радиационной безопасности"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2012 года № 201.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национальной экономики Республики Казахстан от 27 февраля 2015 года № 155.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6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гигиенические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обеспечению радиационной безопасности".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2012 года № 201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Гигиенические нормативы</w:t>
      </w:r>
      <w:r>
        <w:br/>
      </w:r>
      <w:r>
        <w:rPr>
          <w:rFonts w:ascii="Times New Roman"/>
          <w:b/>
          <w:i w:val="false"/>
          <w:color w:val="000000"/>
        </w:rPr>
        <w:t>
"Санитарно-эпидемиологические требования к обеспечению</w:t>
      </w:r>
      <w:r>
        <w:br/>
      </w:r>
      <w:r>
        <w:rPr>
          <w:rFonts w:ascii="Times New Roman"/>
          <w:b/>
          <w:i w:val="false"/>
          <w:color w:val="000000"/>
        </w:rPr>
        <w:t>
радиационной безопасности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гигиенические нормативы "Санитарно-эпидемиологические требования к обеспечению радиационной безопасности" (далее – нормативы) предназначены для юридических и физических лиц независимо от форм собственности, ведомственной принадлежности организационно-правовых форм деятельность которых связана с обращением источников ионизирующего излучения, для обеспечения радиационной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Физические и юридические лица несут ответственность в нарушении требований обеспечения радиационной безопасности,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1998 года "О радиационной безопасности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обоснования расходов на радиационную защиту при реализации принципа оптимизации принимается, что облучение в коллективной эффективной дозе в 1 человека-Зиверт (далее – человек - Зв) приводит к потенциальному ущербу, равному потере примерно 1 человек - Зв года жизни населения. Величина денежного эквивалента потери 1 человек - Зв года жизни устанавливается в размере не менее 1 годового душевого национального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Индивидуальный и коллективный пожизненный риск возникновения стохастических эффектов определяется соответственно.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22225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8890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r,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R – индивидуальный и коллективный пожизненный риск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 – индивидуальная эффективная доза;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(Е)dE, – вероятность для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-го индивидуума получить годовую эффективную дозу от Е до E+dE;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пожизненного риска сокращения длительности периода полноценной жизни в среднем на 15 лет на один стохастический эффект (от смертельного рака, серьезных наследственных эффектов и не смертельного рака, приведенного по вреду к последствиям от смертельного рака), равный: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0"/>
        <w:gridCol w:w="7110"/>
      </w:tblGrid>
      <w:tr>
        <w:trPr>
          <w:trHeight w:val="30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производственного облучения: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E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5,6х10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1/ человек -Зв при Е &lt;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милиЗиверт в год (далее мЗв/год);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E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1,1х10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1/ человек -Зв при 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мЗв/год;</w:t>
            </w:r>
          </w:p>
        </w:tc>
      </w:tr>
      <w:tr>
        <w:trPr>
          <w:trHeight w:val="30" w:hRule="atLeast"/>
        </w:trPr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облучения населения: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E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7,3х10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1/ человек - Зв при Е &lt;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мЗв/год;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E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1,5х10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1/ человек -Зв при 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мЗв/год.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радиационной безопасности при облучении в течение года индивидуальный риск сокращения длительности периода полноценной жизни в результате возникновения тяжелых последствий от детерминированных эффектов консервативно принимается равным: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i,Д</w:t>
      </w:r>
      <w:r>
        <w:rPr>
          <w:rFonts w:ascii="Times New Roman"/>
          <w:b w:val="false"/>
          <w:i w:val="false"/>
          <w:color w:val="000000"/>
          <w:sz w:val="28"/>
        </w:rPr>
        <w:t xml:space="preserve"> =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[D&gt;Д],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[D&gt;Д], - вероятность для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-го индивидуума быть облученным с дозой больше Д при обращении с источником в течение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 - пороговая доза для детерминированного эффекта.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наиболее полной оценки вреда, который может быть нанесен здоровью в результате облучения в малых дозах, используется понятие радиационного ущерба, количественно учитывающего как эффекты облучения отдельных органов и тканей тела, отличающиеся радиочувствительностью к ионизирующему излучению, так и всего организма в целом. В соответствии с общепринятой в мире линейной беспороговой теорией зависимости риска стохастических эффектов от дозы, величина риска пропорциональна дозе излучения и связана с дозой через линейные коэффициенты радиационного риска, приведенные в таблице 1.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Линейные коэффициенты радиационного риска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3873"/>
        <w:gridCol w:w="3693"/>
        <w:gridCol w:w="2093"/>
      </w:tblGrid>
      <w:tr>
        <w:trPr>
          <w:trHeight w:val="84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населения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эффектов, 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население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Усредненная величина коэффициента риска, используемая для установления пределов доз персонала и населения, принята равной 0,05 Зв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нормальной эксплуатации ядерных радиационных и электрофизических установок пределы доз техногенного облучения в течение года устанавливаются исходя из следующих значений индивидуального пожизненного радиационного риска для персонала 1x10</w:t>
      </w:r>
      <w:r>
        <w:rPr>
          <w:rFonts w:ascii="Times New Roman"/>
          <w:b w:val="false"/>
          <w:i w:val="false"/>
          <w:color w:val="000000"/>
          <w:vertAlign w:val="superscript"/>
        </w:rPr>
        <w:t>-3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для населения 5x10</w:t>
      </w:r>
      <w:r>
        <w:rPr>
          <w:rFonts w:ascii="Times New Roman"/>
          <w:b w:val="false"/>
          <w:i w:val="false"/>
          <w:color w:val="000000"/>
          <w:vertAlign w:val="superscript"/>
        </w:rPr>
        <w:t>-5</w:t>
      </w:r>
      <w:r>
        <w:rPr>
          <w:rFonts w:ascii="Times New Roman"/>
          <w:b w:val="false"/>
          <w:i w:val="false"/>
          <w:color w:val="000000"/>
          <w:sz w:val="28"/>
        </w:rPr>
        <w:t>. Уровень пренебрежимо малого риска составляет 10</w:t>
      </w:r>
      <w:r>
        <w:rPr>
          <w:rFonts w:ascii="Times New Roman"/>
          <w:b w:val="false"/>
          <w:i w:val="false"/>
          <w:color w:val="000000"/>
          <w:vertAlign w:val="superscript"/>
        </w:rPr>
        <w:t>-6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обосновании защиты от источников потенциального облучения в течение года принимаются следующие значения обобщенного риска (произведение вероятности события, приводящего к облучению, и вероятности смерти, связанной с облучением): персонал 2,0х10</w:t>
      </w:r>
      <w:r>
        <w:rPr>
          <w:rFonts w:ascii="Times New Roman"/>
          <w:b w:val="false"/>
          <w:i w:val="false"/>
          <w:color w:val="000000"/>
          <w:vertAlign w:val="superscript"/>
        </w:rPr>
        <w:t>-4</w:t>
      </w:r>
      <w:r>
        <w:rPr>
          <w:rFonts w:ascii="Times New Roman"/>
          <w:b w:val="false"/>
          <w:i w:val="false"/>
          <w:color w:val="000000"/>
          <w:sz w:val="28"/>
        </w:rPr>
        <w:t>, год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; население 1,0х10</w:t>
      </w:r>
      <w:r>
        <w:rPr>
          <w:rFonts w:ascii="Times New Roman"/>
          <w:b w:val="false"/>
          <w:i w:val="false"/>
          <w:color w:val="000000"/>
          <w:vertAlign w:val="superscript"/>
        </w:rPr>
        <w:t>-5</w:t>
      </w:r>
      <w:r>
        <w:rPr>
          <w:rFonts w:ascii="Times New Roman"/>
          <w:b w:val="false"/>
          <w:i w:val="false"/>
          <w:color w:val="000000"/>
          <w:sz w:val="28"/>
        </w:rPr>
        <w:t>, год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Нормативы к ограничению техногенного облучения</w:t>
      </w:r>
      <w:r>
        <w:br/>
      </w:r>
      <w:r>
        <w:rPr>
          <w:rFonts w:ascii="Times New Roman"/>
          <w:b/>
          <w:i w:val="false"/>
          <w:color w:val="000000"/>
        </w:rPr>
        <w:t>
в контролируемых условиях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категорий облучаемых лиц (персонал группы А, Б и население) устанавливаются три класса нормативов: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основные пределы доз (далее - ПД);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допустимые уровни монофакторного воздействия (для одного радионуклида, пути поступления или одного вида внешнего облучения), являющиеся производными от основных пределов доз: предел годового поступления (далее - ПГП), допустимые среднегодовые объемные активности (далее - ДОА), среднегодовые удельные активности (далее - ДУА), мощность эквивалентной дозы (далее - МЭД);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контрольные уровни (дозы, уровни, активности, плотности потоков. Их значения учитывают достигнутый в организации уровень радиационной безопасности и обеспечивают условия, при которых радиационное воздействие будет ниже допустимого.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Персонал - лица, работающие с техногенными источниками ионизирующего излучения (группа А) или находящиеся по условиям работы в сфере их воздействия (группа Б).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Основные пределы доз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1"/>
        <w:gridCol w:w="4202"/>
        <w:gridCol w:w="4323"/>
      </w:tblGrid>
      <w:tr>
        <w:trPr>
          <w:trHeight w:val="30" w:hRule="atLeast"/>
        </w:trPr>
        <w:tc>
          <w:tcPr>
            <w:tcW w:w="3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Нормируемые величины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 доз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 группы 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доза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мЗв в год в среднем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любые последовательные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но не более 50 мЗв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мЗв в год в среднем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любые последовательные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но не более 5 мЗв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Эквивалентная доза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хрусталике глаза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кистях и стопах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мЗв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мЗв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мЗв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мЗв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мЗв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мЗв</w:t>
            </w:r>
          </w:p>
        </w:tc>
      </w:tr>
    </w:tbl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допускается одновременное облучение до указанных пределов по всем нормируемым величинам;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основные пределы доз, как и все остальные допустимые уровни облучения персонала группы Б, равны 1/4 значений для персонала группы А. Далее в тексте все нормативные значения для категории "персонал" приводятся только для группы 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3)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относится к дозе на глубине 300 Миллиграмм на квадратный сантиметр (далее-мг/см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4)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относится к среднему по площади в 1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значению в базальном слое кожи толщиной 5 мг/см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покровным слоем толщиной 5 мг/см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На ладонях толщина покровного слоя - 40 мг/см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Указанным пределом допускается облучение всей кожи человека при условии, что в пределах усредненного облучения любого 1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площади кожи этот предел не будет превышен. Предел дозы при облучении кожи лица обеспечивает не превышение предела дозы на хрусталик от бета-частиц.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Основные пределы доз облучения не включают в себя дозы от природного и медицинского облучения, а также дозы вследствие радиационных аварий. На эти виды облучения устанавливаются специальные ограничения.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Эффективная доза для персонала не должна превышать за период трудовой деятельности (50 лет) - 1000 мЗв, для населения за период жизни (70 лет) - 70 мЗв.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Годовая эффективная доза облучения персонала за счет нормальной эксплуатации техногенных источников ионизирующего излучения не должна превышать пределов доз, установленных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 годовой эффективной дозой понимается сумма эффективной дозы внешнего облучения, полученной за календарный год, и ожидаемой эффективной дозы внутреннего облучения, обусловленной поступлением в организм радионуклидов за этот же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Годовое поступление радионуклидов через органы дыхания и среднегодовая объемная активность их во вдыхаемом воздухе не должны превышать числовых значений ПГП и ДОА, приведенных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настоящими нормативам, где пределы доз взяты равными 20 мЗв в год для персонала и 1 мЗв в год для населения. В нестандартных условиях допустимые уровни МЭД, среднегодовая ДОА перс и ЭРОА радона определяются расчетным путем с учетом времени пребывания персонала в радиационно-опасной зоне. Приведенные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значения дозовых коэффициентов, а также величин ПГП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>, ПГП</w:t>
      </w:r>
      <w:r>
        <w:rPr>
          <w:rFonts w:ascii="Times New Roman"/>
          <w:b w:val="false"/>
          <w:i w:val="false"/>
          <w:color w:val="000000"/>
          <w:vertAlign w:val="subscript"/>
        </w:rPr>
        <w:t>нас</w:t>
      </w:r>
      <w:r>
        <w:rPr>
          <w:rFonts w:ascii="Times New Roman"/>
          <w:b w:val="false"/>
          <w:i w:val="false"/>
          <w:color w:val="000000"/>
          <w:sz w:val="28"/>
        </w:rPr>
        <w:t>, ДОА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ДОА</w:t>
      </w:r>
      <w:r>
        <w:rPr>
          <w:rFonts w:ascii="Times New Roman"/>
          <w:b w:val="false"/>
          <w:i w:val="false"/>
          <w:color w:val="000000"/>
          <w:vertAlign w:val="subscript"/>
        </w:rPr>
        <w:t>нас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воздуха рассчитаны для аэрозолей с логарифмически нормальным распределением частиц по активности при медианном по активности аэродинамическом диаметре 1 мкм и стандартном геометрическом отклонении, равном 2,5.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персонала группы А значения ПГП и ДОА дочерних продуктов распада изотопов радона (</w:t>
      </w:r>
      <w:r>
        <w:rPr>
          <w:rFonts w:ascii="Times New Roman"/>
          <w:b w:val="false"/>
          <w:i w:val="false"/>
          <w:color w:val="000000"/>
          <w:vertAlign w:val="superscript"/>
        </w:rPr>
        <w:t>222</w:t>
      </w:r>
      <w:r>
        <w:rPr>
          <w:rFonts w:ascii="Times New Roman"/>
          <w:b w:val="false"/>
          <w:i w:val="false"/>
          <w:color w:val="000000"/>
          <w:sz w:val="28"/>
        </w:rPr>
        <w:t xml:space="preserve">Rn и </w:t>
      </w:r>
      <w:r>
        <w:rPr>
          <w:rFonts w:ascii="Times New Roman"/>
          <w:b w:val="false"/>
          <w:i w:val="false"/>
          <w:color w:val="000000"/>
          <w:vertAlign w:val="superscript"/>
        </w:rPr>
        <w:t>220</w:t>
      </w:r>
      <w:r>
        <w:rPr>
          <w:rFonts w:ascii="Times New Roman"/>
          <w:b w:val="false"/>
          <w:i w:val="false"/>
          <w:color w:val="000000"/>
          <w:sz w:val="28"/>
        </w:rPr>
        <w:t xml:space="preserve">Rn) - </w:t>
      </w:r>
      <w:r>
        <w:rPr>
          <w:rFonts w:ascii="Times New Roman"/>
          <w:b w:val="false"/>
          <w:i w:val="false"/>
          <w:color w:val="000000"/>
          <w:vertAlign w:val="superscript"/>
        </w:rPr>
        <w:t>218</w:t>
      </w:r>
      <w:r>
        <w:rPr>
          <w:rFonts w:ascii="Times New Roman"/>
          <w:b w:val="false"/>
          <w:i w:val="false"/>
          <w:color w:val="000000"/>
          <w:sz w:val="28"/>
        </w:rPr>
        <w:t xml:space="preserve">Po (RaA); </w:t>
      </w:r>
      <w:r>
        <w:rPr>
          <w:rFonts w:ascii="Times New Roman"/>
          <w:b w:val="false"/>
          <w:i w:val="false"/>
          <w:color w:val="000000"/>
          <w:vertAlign w:val="superscript"/>
        </w:rPr>
        <w:t>214</w:t>
      </w:r>
      <w:r>
        <w:rPr>
          <w:rFonts w:ascii="Times New Roman"/>
          <w:b w:val="false"/>
          <w:i w:val="false"/>
          <w:color w:val="000000"/>
          <w:sz w:val="28"/>
        </w:rPr>
        <w:t xml:space="preserve">Pb (RaB); </w:t>
      </w:r>
      <w:r>
        <w:rPr>
          <w:rFonts w:ascii="Times New Roman"/>
          <w:b w:val="false"/>
          <w:i w:val="false"/>
          <w:color w:val="000000"/>
          <w:vertAlign w:val="superscript"/>
        </w:rPr>
        <w:t>214</w:t>
      </w:r>
      <w:r>
        <w:rPr>
          <w:rFonts w:ascii="Times New Roman"/>
          <w:b w:val="false"/>
          <w:i w:val="false"/>
          <w:color w:val="000000"/>
          <w:sz w:val="28"/>
        </w:rPr>
        <w:t xml:space="preserve">Bi (RaC); </w:t>
      </w:r>
      <w:r>
        <w:rPr>
          <w:rFonts w:ascii="Times New Roman"/>
          <w:b w:val="false"/>
          <w:i w:val="false"/>
          <w:color w:val="000000"/>
          <w:vertAlign w:val="superscript"/>
        </w:rPr>
        <w:t>212</w:t>
      </w:r>
      <w:r>
        <w:rPr>
          <w:rFonts w:ascii="Times New Roman"/>
          <w:b w:val="false"/>
          <w:i w:val="false"/>
          <w:color w:val="000000"/>
          <w:sz w:val="28"/>
        </w:rPr>
        <w:t xml:space="preserve">Pb (ThB); </w:t>
      </w:r>
      <w:r>
        <w:rPr>
          <w:rFonts w:ascii="Times New Roman"/>
          <w:b w:val="false"/>
          <w:i w:val="false"/>
          <w:color w:val="000000"/>
          <w:vertAlign w:val="superscript"/>
        </w:rPr>
        <w:t>212</w:t>
      </w:r>
      <w:r>
        <w:rPr>
          <w:rFonts w:ascii="Times New Roman"/>
          <w:b w:val="false"/>
          <w:i w:val="false"/>
          <w:color w:val="000000"/>
          <w:sz w:val="28"/>
        </w:rPr>
        <w:t>Bi (ThC) в единицах эквивалентной равновесной активности (для ПГП) и эквивалентной равновесной объемной активности (для ДОА)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ПГП: 0,10 П</w:t>
      </w:r>
      <w:r>
        <w:rPr>
          <w:rFonts w:ascii="Times New Roman"/>
          <w:b w:val="false"/>
          <w:i w:val="false"/>
          <w:color w:val="000000"/>
          <w:vertAlign w:val="subscript"/>
        </w:rPr>
        <w:t>RaA</w:t>
      </w:r>
      <w:r>
        <w:rPr>
          <w:rFonts w:ascii="Times New Roman"/>
          <w:b w:val="false"/>
          <w:i w:val="false"/>
          <w:color w:val="000000"/>
          <w:sz w:val="28"/>
        </w:rPr>
        <w:t xml:space="preserve"> + 0,52 П</w:t>
      </w:r>
      <w:r>
        <w:rPr>
          <w:rFonts w:ascii="Times New Roman"/>
          <w:b w:val="false"/>
          <w:i w:val="false"/>
          <w:color w:val="000000"/>
          <w:vertAlign w:val="subscript"/>
        </w:rPr>
        <w:t>RaB</w:t>
      </w:r>
      <w:r>
        <w:rPr>
          <w:rFonts w:ascii="Times New Roman"/>
          <w:b w:val="false"/>
          <w:i w:val="false"/>
          <w:color w:val="000000"/>
          <w:sz w:val="28"/>
        </w:rPr>
        <w:t xml:space="preserve"> + 0,38 П</w:t>
      </w:r>
      <w:r>
        <w:rPr>
          <w:rFonts w:ascii="Times New Roman"/>
          <w:b w:val="false"/>
          <w:i w:val="false"/>
          <w:color w:val="000000"/>
          <w:vertAlign w:val="subscript"/>
        </w:rPr>
        <w:t>RaC</w:t>
      </w:r>
      <w:r>
        <w:rPr>
          <w:rFonts w:ascii="Times New Roman"/>
          <w:b w:val="false"/>
          <w:i w:val="false"/>
          <w:color w:val="000000"/>
          <w:sz w:val="28"/>
        </w:rPr>
        <w:t xml:space="preserve"> = 3,0 МБк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0,91 П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ThB </w:t>
      </w:r>
      <w:r>
        <w:rPr>
          <w:rFonts w:ascii="Times New Roman"/>
          <w:b w:val="false"/>
          <w:i w:val="false"/>
          <w:color w:val="000000"/>
          <w:sz w:val="28"/>
        </w:rPr>
        <w:t>+ 0,09 П</w:t>
      </w:r>
      <w:r>
        <w:rPr>
          <w:rFonts w:ascii="Times New Roman"/>
          <w:b w:val="false"/>
          <w:i w:val="false"/>
          <w:color w:val="000000"/>
          <w:vertAlign w:val="subscript"/>
        </w:rPr>
        <w:t>ThC</w:t>
      </w:r>
      <w:r>
        <w:rPr>
          <w:rFonts w:ascii="Times New Roman"/>
          <w:b w:val="false"/>
          <w:i w:val="false"/>
          <w:color w:val="000000"/>
          <w:sz w:val="28"/>
        </w:rPr>
        <w:t xml:space="preserve"> = 0,68 МБк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ДОА: 0,10 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RaA </w:t>
      </w:r>
      <w:r>
        <w:rPr>
          <w:rFonts w:ascii="Times New Roman"/>
          <w:b w:val="false"/>
          <w:i w:val="false"/>
          <w:color w:val="000000"/>
          <w:sz w:val="28"/>
        </w:rPr>
        <w:t>+ 0,52 А</w:t>
      </w:r>
      <w:r>
        <w:rPr>
          <w:rFonts w:ascii="Times New Roman"/>
          <w:b w:val="false"/>
          <w:i w:val="false"/>
          <w:color w:val="000000"/>
          <w:vertAlign w:val="subscript"/>
        </w:rPr>
        <w:t>RaB</w:t>
      </w:r>
      <w:r>
        <w:rPr>
          <w:rFonts w:ascii="Times New Roman"/>
          <w:b w:val="false"/>
          <w:i w:val="false"/>
          <w:color w:val="000000"/>
          <w:sz w:val="28"/>
        </w:rPr>
        <w:t xml:space="preserve"> + 0,38 А</w:t>
      </w:r>
      <w:r>
        <w:rPr>
          <w:rFonts w:ascii="Times New Roman"/>
          <w:b w:val="false"/>
          <w:i w:val="false"/>
          <w:color w:val="000000"/>
          <w:vertAlign w:val="subscript"/>
        </w:rPr>
        <w:t>RaC</w:t>
      </w:r>
      <w:r>
        <w:rPr>
          <w:rFonts w:ascii="Times New Roman"/>
          <w:b w:val="false"/>
          <w:i w:val="false"/>
          <w:color w:val="000000"/>
          <w:sz w:val="28"/>
        </w:rPr>
        <w:t xml:space="preserve"> = 1200 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0,91 А</w:t>
      </w:r>
      <w:r>
        <w:rPr>
          <w:rFonts w:ascii="Times New Roman"/>
          <w:b w:val="false"/>
          <w:i w:val="false"/>
          <w:color w:val="000000"/>
          <w:vertAlign w:val="subscript"/>
        </w:rPr>
        <w:t>ThB</w:t>
      </w:r>
      <w:r>
        <w:rPr>
          <w:rFonts w:ascii="Times New Roman"/>
          <w:b w:val="false"/>
          <w:i w:val="false"/>
          <w:color w:val="000000"/>
          <w:sz w:val="28"/>
        </w:rPr>
        <w:t xml:space="preserve"> + 0,09 А</w:t>
      </w:r>
      <w:r>
        <w:rPr>
          <w:rFonts w:ascii="Times New Roman"/>
          <w:b w:val="false"/>
          <w:i w:val="false"/>
          <w:color w:val="000000"/>
          <w:vertAlign w:val="subscript"/>
        </w:rPr>
        <w:t>ThC</w:t>
      </w:r>
      <w:r>
        <w:rPr>
          <w:rFonts w:ascii="Times New Roman"/>
          <w:b w:val="false"/>
          <w:i w:val="false"/>
          <w:color w:val="000000"/>
          <w:sz w:val="28"/>
        </w:rPr>
        <w:t xml:space="preserve"> = 270 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>- годовые поступления и среднегодовые объемные активности в зоне дыхания соответствующих дочерних продуктов изотопов радона.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студентов и учащихся старше 16 лет, проходящих профессиональное обучение с использованием источников излучения, годовые дозы не должны превышать значений, установленных для персонала группы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Планируемое повышенное облучение в эффективной дозе до 100 мЗв в год и эквивалентных дозах не более двукратных значений, приведенных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нормативов, допускается при согласовании с органом государственного санитарно-эпидемиологического надзора (не ниже обласного уровня), облучение в эффективной дозе до 200 мЗв в год и четырехкратных значений эквивалентных доз допускается с разрешения Главного государственного санитарного врача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Повышенное облучение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работников, ранее уже облученных в течение года в результате аварии или запланированного повышенного облучения с эффективной дозой 200 мЗв или с эквивалентной дозой, превышающей в четыре раза соответствующие пределы доз;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лиц, имеющих медицинские противопоказания для работы с источниками излучения.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Лица, подвергшиеся облучению в эффективной дозе, превышающей 100 мЗв в течение года, при дальнейшей работе не должны подвергаться облучению в дозе свыше 20 мЗв за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Облучение эффективной дозой свыше 200 мЗв в течение года должно рассматриваться как потенциально опасное. Лица, подвергшиеся такому облучению, немедленно выводятся из зоны облучения и направляются на медицинское обследование. Последующая работа с источниками излучения этим лицам разрешается в индивидуальном порядке с учетом их согласия по решению компетентной медицинской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Лица, не относящиеся к персоналу, привлекаемые для проведения аварийных, спасательных и других работ, осуществляемых на радиоактивно загрязненных территориях, оформляются и допускаются к работам как персонал группы А.</w:t>
      </w:r>
    </w:p>
    <w:bookmarkEnd w:id="14"/>
    <w:bookmarkStart w:name="z5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Нормативы к защите от природного облучения</w:t>
      </w:r>
      <w:r>
        <w:br/>
      </w:r>
      <w:r>
        <w:rPr>
          <w:rFonts w:ascii="Times New Roman"/>
          <w:b/>
          <w:i w:val="false"/>
          <w:color w:val="000000"/>
        </w:rPr>
        <w:t>
в производственных условиях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Эффективная доза облучения природными источниками излучения всех работников, включая персонал, не должна превышать 5 мЗв в год в производственных условиях (любые профессии и производства).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Средние значения радиационных факторов в течение года, соответствующие при монофакторном воздействии эффективной дозе 5 мЗв за год при продолжительности работы 2000 часов в год (далее-ч/год), средней скорости дыхания 1,2 кубический метр в час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/ч) и радиоактивном равновесии радионуклидов уранового и ториевого рядов в производственной пыли,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мощность эффективной дозы гамма-излучения на рабочем месте 2,5 мкЗв/ч;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Эквивалентная равновесная объемная активность (далее - ЭРОА</w:t>
      </w:r>
      <w:r>
        <w:rPr>
          <w:rFonts w:ascii="Times New Roman"/>
          <w:b w:val="false"/>
          <w:i w:val="false"/>
          <w:color w:val="000000"/>
          <w:vertAlign w:val="subscript"/>
        </w:rPr>
        <w:t>Rn</w:t>
      </w:r>
      <w:r>
        <w:rPr>
          <w:rFonts w:ascii="Times New Roman"/>
          <w:b w:val="false"/>
          <w:i w:val="false"/>
          <w:color w:val="000000"/>
          <w:sz w:val="28"/>
        </w:rPr>
        <w:t>) в воздухе зоны дыхания 310 Беккерель на кубический метр (далее - 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ЭРОА</w:t>
      </w:r>
      <w:r>
        <w:rPr>
          <w:rFonts w:ascii="Times New Roman"/>
          <w:b w:val="false"/>
          <w:i w:val="false"/>
          <w:color w:val="000000"/>
          <w:vertAlign w:val="subscript"/>
        </w:rPr>
        <w:t>Tn</w:t>
      </w:r>
      <w:r>
        <w:rPr>
          <w:rFonts w:ascii="Times New Roman"/>
          <w:b w:val="false"/>
          <w:i w:val="false"/>
          <w:color w:val="000000"/>
          <w:sz w:val="28"/>
        </w:rPr>
        <w:t xml:space="preserve"> в воздухе зоны дыхания 68 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удельная активность в производственной пыли урана-238, находящегося в радиоактивном равновесии с членами своего ряда 40/f килоБекерел на килограмм (далее - кБк/кг), где f - среднегодовая общая запыленность воздуха в зоне дыхания, 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удельная активность в производственной пыли тория-232, находящегося в радиоактивном равновесии с членами своего ряда, 27/f, кБк/кг.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многофакторном воздействии сумма отношений воздействующих факторов к указанным значениям не должна превышать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Воздействие космических излучений на экипажи самолетов нормируется как природное облучение в производственных условиях и не должно превышать 5 мЗв в год.</w:t>
      </w:r>
    </w:p>
    <w:bookmarkEnd w:id="16"/>
    <w:bookmarkStart w:name="z6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Нормативы к ограничению техногенного и природного облучения</w:t>
      </w:r>
      <w:r>
        <w:br/>
      </w:r>
      <w:r>
        <w:rPr>
          <w:rFonts w:ascii="Times New Roman"/>
          <w:b/>
          <w:i w:val="false"/>
          <w:color w:val="000000"/>
        </w:rPr>
        <w:t>
населения в нормальных условиях</w:t>
      </w:r>
    </w:p>
    <w:bookmarkEnd w:id="17"/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Допустимые значения содержания радионуклидов в пищевых продуктах, питьевой воде и атмосферном воздухе, соответствующие пределу дозы техногенного облучения населения 1 мЗв/год и квотам от этого предела, рассчитываются на основании значений дозовых коэффициентов при поступлении радионуклидов через органы пищеварения с учетом их распределения по компонентам рациона питания и питьевой воде, а также с учетом поступления радионуклидов через органы дыхания и внешнего облучения людей. Значения дозовых коэффициентов для критических групп населения, ДОА и ПГП через органы дыхания и ПГП через органы пищеварения,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проектировании новых зданий жилищного и общественного назначения предусматривается, чтобы среднегодовая эквивалентная равновесная объемная активность дочерних продуктов радона и торона в воздухе помещений ЭРОА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Rn </w:t>
      </w:r>
      <w:r>
        <w:rPr>
          <w:rFonts w:ascii="Times New Roman"/>
          <w:b w:val="false"/>
          <w:i w:val="false"/>
          <w:color w:val="000000"/>
          <w:sz w:val="28"/>
        </w:rPr>
        <w:t>+ 4,6ЧЭРОА</w:t>
      </w:r>
      <w:r>
        <w:rPr>
          <w:rFonts w:ascii="Times New Roman"/>
          <w:b w:val="false"/>
          <w:i w:val="false"/>
          <w:color w:val="000000"/>
          <w:vertAlign w:val="subscript"/>
        </w:rPr>
        <w:t>Tn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превышала 100 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а мощность эффективной дозы гамма-излучения не превышала мощность дозы на открытой местности более чем на 0,2 мкЗв/ч.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эксплуатируемых зданиях среднегодовая эквивалентная равновесная объемная активность дочерних продуктов радона и торона в воздухе жилых помещений не должна превышать 200 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При более высоких значениях объемной активности проводятся защитные мероприятия, направленные на снижение поступления радона в воздух помещений и улучшение вентиляции помещений. Защитные мероприятия проводятся также, если мощность эффективной дозы гамма-излучения в помещениях превышает мощность дозы на открытой местности более чем на 0,2 мкЗв/ч.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выборе участков территорий под строительство жилых домов и зданий социально-бытового назначения отводятся участки с гамма-фоном не превышающим 0,3 мкГр/ч и плотностью потока радона с поверхности грунта не более 80 мБк/(м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Эффективная удельная активность (А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>) природных радионуклидов в строительных материалах (щебень, гравий, песок, бутовый и пиленный камень, цементное и кирпичное сырье и другие), добываемых на их месторождениях или являющихся побочным продуктом промышленности, а также отходы промышленного производства, используемые для изготовления строительных материалов (золы, шлаки), и готовой продукции не должна превышать: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материалов, используемых в строящихся и реконструируемых жилых и общественных зданиях (I класс):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эфф </w:t>
      </w:r>
      <w:r>
        <w:rPr>
          <w:rFonts w:ascii="Times New Roman"/>
          <w:b w:val="false"/>
          <w:i w:val="false"/>
          <w:color w:val="000000"/>
          <w:sz w:val="28"/>
        </w:rPr>
        <w:t xml:space="preserve">= А </w:t>
      </w:r>
      <w:r>
        <w:rPr>
          <w:rFonts w:ascii="Times New Roman"/>
          <w:b w:val="false"/>
          <w:i w:val="false"/>
          <w:color w:val="000000"/>
          <w:vertAlign w:val="subscript"/>
        </w:rPr>
        <w:t>Ra</w:t>
      </w:r>
      <w:r>
        <w:rPr>
          <w:rFonts w:ascii="Times New Roman"/>
          <w:b w:val="false"/>
          <w:i w:val="false"/>
          <w:color w:val="000000"/>
          <w:sz w:val="28"/>
        </w:rPr>
        <w:t xml:space="preserve"> +1,3А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Th </w:t>
      </w:r>
      <w:r>
        <w:rPr>
          <w:rFonts w:ascii="Times New Roman"/>
          <w:b w:val="false"/>
          <w:i w:val="false"/>
          <w:color w:val="000000"/>
          <w:sz w:val="28"/>
        </w:rPr>
        <w:t>+0,09А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K </w:t>
      </w:r>
      <w:r>
        <w:rPr>
          <w:rFonts w:ascii="Times New Roman"/>
          <w:b w:val="false"/>
          <w:i w:val="false"/>
          <w:color w:val="000000"/>
          <w:vertAlign w:val="subscript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370 Бк/кг,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Ra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 </w:t>
      </w:r>
      <w:r>
        <w:rPr>
          <w:rFonts w:ascii="Times New Roman"/>
          <w:b w:val="false"/>
          <w:i w:val="false"/>
          <w:color w:val="000000"/>
          <w:vertAlign w:val="subscript"/>
        </w:rPr>
        <w:t>Th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удельные активности </w:t>
      </w:r>
      <w:r>
        <w:rPr>
          <w:rFonts w:ascii="Times New Roman"/>
          <w:b w:val="false"/>
          <w:i w:val="false"/>
          <w:color w:val="000000"/>
          <w:vertAlign w:val="superscript"/>
        </w:rPr>
        <w:t>226</w:t>
      </w:r>
      <w:r>
        <w:rPr>
          <w:rFonts w:ascii="Times New Roman"/>
          <w:b w:val="false"/>
          <w:i w:val="false"/>
          <w:color w:val="000000"/>
          <w:sz w:val="28"/>
        </w:rPr>
        <w:t xml:space="preserve">Rа и </w:t>
      </w:r>
      <w:r>
        <w:rPr>
          <w:rFonts w:ascii="Times New Roman"/>
          <w:b w:val="false"/>
          <w:i w:val="false"/>
          <w:color w:val="000000"/>
          <w:vertAlign w:val="superscript"/>
        </w:rPr>
        <w:t>232</w:t>
      </w:r>
      <w:r>
        <w:rPr>
          <w:rFonts w:ascii="Times New Roman"/>
          <w:b w:val="false"/>
          <w:i w:val="false"/>
          <w:color w:val="000000"/>
          <w:sz w:val="28"/>
        </w:rPr>
        <w:t>Тh, находящихся в радиоактивном равновесии с остальными членами уранового и ториевого рядов, А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удельная активность К-40 (Бк/кг);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материалов, используемых в дорожном строительстве в пределах территории населенных пунктов и зон перспективной застройки. Для наружной отделки жилых, общественных и производственных зданий, фонтаны, культурные и другие сооружения при условии, что ожидаемая индивидуальная годовая эффективная доза облучения, при планируемом виде их использования не должна превышать 10 мкЗв, а годовая коллективная эффективная доза не должна превышать более одного человека–Зв. Не допускается использование для строительства и внутренней отделки жилых и общественных зданий, детских, подростковых, медицинских организаций (II класс):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740 Бк/кг;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материалов, используемых в дорожном строительстве вне населенных пунктов (III класс):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эфф </w:t>
      </w:r>
      <w:r>
        <w:rPr>
          <w:rFonts w:ascii="Times New Roman"/>
          <w:b w:val="false"/>
          <w:i w:val="false"/>
          <w:color w:val="000000"/>
          <w:vertAlign w:val="subscript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1500 Бк/кг;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1,5 кБк/кг &lt; 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эфф </w:t>
      </w:r>
      <w:r>
        <w:rPr>
          <w:rFonts w:ascii="Times New Roman"/>
          <w:b w:val="false"/>
          <w:i w:val="false"/>
          <w:color w:val="000000"/>
          <w:vertAlign w:val="subscript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>4,0 кБк/кг (IV класс) вопрос об использовании материалов решается в каждом случае отдельно по согласованию с территориальными органами государственного санитарно-эпидемиологического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А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 xml:space="preserve"> &gt; 4,0 кБк/кг материалы не допускается использовать в строительстве.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Предварительная оценка допустимости использования воды для питьевых целей по показателям радиационной безопасности дается по удельной суммарной альфа- (А</w:t>
      </w:r>
      <w:r>
        <w:rPr>
          <w:rFonts w:ascii="Times New Roman"/>
          <w:b w:val="false"/>
          <w:i w:val="false"/>
          <w:color w:val="000000"/>
          <w:vertAlign w:val="subscript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) и бета-активности (А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). При значениях А</w:t>
      </w:r>
      <w:r>
        <w:rPr>
          <w:rFonts w:ascii="Times New Roman"/>
          <w:b w:val="false"/>
          <w:i w:val="false"/>
          <w:color w:val="000000"/>
          <w:vertAlign w:val="subscript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ниже 0,2 и 1,0 Бк/кг, соответственно, дальнейшие исследования воды не являются обязательными. В случае превышения указанных уровней проводится анализ содержания радионуклидов в воде. Если при совместном присутствии в воде нескольких природных и техногенных радионуклидов выполняется условие:</w:t>
      </w:r>
    </w:p>
    <w:bookmarkEnd w:id="18"/>
    <w:bookmarkStart w:name="z8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drawing>
          <wp:inline distT="0" distB="0" distL="0" distR="0">
            <wp:extent cx="8636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9"/>
    <w:bookmarkStart w:name="z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А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удельная активность i-го радионуклида в воде, Бк/кг;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соответствующие уровни вмешательства по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нормативам, Бк/кг, то мероприятия по снижению радиоактивности питьевой воды не являются обязательным.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Критическим путем облучения людей за счет </w:t>
      </w:r>
      <w:r>
        <w:rPr>
          <w:rFonts w:ascii="Times New Roman"/>
          <w:b w:val="false"/>
          <w:i w:val="false"/>
          <w:color w:val="000000"/>
          <w:vertAlign w:val="superscript"/>
        </w:rPr>
        <w:t>222</w:t>
      </w:r>
      <w:r>
        <w:rPr>
          <w:rFonts w:ascii="Times New Roman"/>
          <w:b w:val="false"/>
          <w:i w:val="false"/>
          <w:color w:val="000000"/>
          <w:sz w:val="28"/>
        </w:rPr>
        <w:t xml:space="preserve">Rn, содержащегося в питьевой воде, является переход радона в воздух помещения и последующее ингаляционное поступление дочерних продуктов радона в организм. Уровень вмешательства для </w:t>
      </w:r>
      <w:r>
        <w:rPr>
          <w:rFonts w:ascii="Times New Roman"/>
          <w:b w:val="false"/>
          <w:i w:val="false"/>
          <w:color w:val="000000"/>
          <w:vertAlign w:val="superscript"/>
        </w:rPr>
        <w:t>222</w:t>
      </w:r>
      <w:r>
        <w:rPr>
          <w:rFonts w:ascii="Times New Roman"/>
          <w:b w:val="false"/>
          <w:i w:val="false"/>
          <w:color w:val="000000"/>
          <w:sz w:val="28"/>
        </w:rPr>
        <w:t xml:space="preserve">Rn в питьевой воде составляет 60 Бк/кг. Определение удельной активности </w:t>
      </w:r>
      <w:r>
        <w:rPr>
          <w:rFonts w:ascii="Times New Roman"/>
          <w:b w:val="false"/>
          <w:i w:val="false"/>
          <w:color w:val="000000"/>
          <w:vertAlign w:val="superscript"/>
        </w:rPr>
        <w:t>222</w:t>
      </w:r>
      <w:r>
        <w:rPr>
          <w:rFonts w:ascii="Times New Roman"/>
          <w:b w:val="false"/>
          <w:i w:val="false"/>
          <w:color w:val="000000"/>
          <w:sz w:val="28"/>
        </w:rPr>
        <w:t>Rn в питьевой воде из подземных источников при децентрализованном водоснабжении является обязательным.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возможном присутствии в воде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H, </w:t>
      </w: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C, </w:t>
      </w:r>
      <w:r>
        <w:rPr>
          <w:rFonts w:ascii="Times New Roman"/>
          <w:b w:val="false"/>
          <w:i w:val="false"/>
          <w:color w:val="000000"/>
          <w:vertAlign w:val="superscript"/>
        </w:rPr>
        <w:t>131</w:t>
      </w:r>
      <w:r>
        <w:rPr>
          <w:rFonts w:ascii="Times New Roman"/>
          <w:b w:val="false"/>
          <w:i w:val="false"/>
          <w:color w:val="000000"/>
          <w:sz w:val="28"/>
        </w:rPr>
        <w:t xml:space="preserve">I, </w:t>
      </w:r>
      <w:r>
        <w:rPr>
          <w:rFonts w:ascii="Times New Roman"/>
          <w:b w:val="false"/>
          <w:i w:val="false"/>
          <w:color w:val="000000"/>
          <w:vertAlign w:val="superscript"/>
        </w:rPr>
        <w:t>210</w:t>
      </w:r>
      <w:r>
        <w:rPr>
          <w:rFonts w:ascii="Times New Roman"/>
          <w:b w:val="false"/>
          <w:i w:val="false"/>
          <w:color w:val="000000"/>
          <w:sz w:val="28"/>
        </w:rPr>
        <w:t xml:space="preserve">Pb, </w:t>
      </w:r>
      <w:r>
        <w:rPr>
          <w:rFonts w:ascii="Times New Roman"/>
          <w:b w:val="false"/>
          <w:i w:val="false"/>
          <w:color w:val="000000"/>
          <w:vertAlign w:val="superscript"/>
        </w:rPr>
        <w:t>228</w:t>
      </w:r>
      <w:r>
        <w:rPr>
          <w:rFonts w:ascii="Times New Roman"/>
          <w:b w:val="false"/>
          <w:i w:val="false"/>
          <w:color w:val="000000"/>
          <w:sz w:val="28"/>
        </w:rPr>
        <w:t xml:space="preserve">Ra, </w:t>
      </w:r>
      <w:r>
        <w:rPr>
          <w:rFonts w:ascii="Times New Roman"/>
          <w:b w:val="false"/>
          <w:i w:val="false"/>
          <w:color w:val="000000"/>
          <w:vertAlign w:val="superscript"/>
        </w:rPr>
        <w:t>232</w:t>
      </w:r>
      <w:r>
        <w:rPr>
          <w:rFonts w:ascii="Times New Roman"/>
          <w:b w:val="false"/>
          <w:i w:val="false"/>
          <w:color w:val="000000"/>
          <w:sz w:val="28"/>
        </w:rPr>
        <w:t xml:space="preserve">Th, </w:t>
      </w:r>
      <w:r>
        <w:rPr>
          <w:rFonts w:ascii="Times New Roman"/>
          <w:b w:val="false"/>
          <w:i w:val="false"/>
          <w:color w:val="000000"/>
          <w:vertAlign w:val="superscript"/>
        </w:rPr>
        <w:t>232</w:t>
      </w:r>
      <w:r>
        <w:rPr>
          <w:rFonts w:ascii="Times New Roman"/>
          <w:b w:val="false"/>
          <w:i w:val="false"/>
          <w:color w:val="000000"/>
          <w:sz w:val="28"/>
        </w:rPr>
        <w:t>U (в зонах наблюдения радиационных объектов I и II категории по потенциальной опасности) определение удельной активности этих радионуклидов в воде является обязательным.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Санитарно-эпидемиологическая экспертиза пищевого продукта и ограничения облучения населения осуществляется путем регламентации содержания радионуклидов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 Содержание радионуклидов в чае (черный, зеленый, плиточный) не должно превышать по цезию 137 – 400 Бк/кг, стронцию 90 – 200 Бк/кг.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Содержание радионуклидов в кофе (в зернах, молотый, растворимый) не должно превышать по цезию 137 – 300 Бк/кг, стронцию 90 – 100 Бк/кг.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Содержание радионуклидов в БАДах на растительной основе, в т.ч. цветочная пыльца (сухие чаи), жидкие (эликсиры, бальзамы, настойки) не должно превышать по цезию 137 – 200 Бк/кг, стронцию 90 – 100 Бк/кг".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Содержание радионуклидов в лекарственных растениях (травы, кора, корневище, плоды) не должно превышать по цезию 137 – 400 Бк/кг, стронцию 90 – 200 Бк/кг.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Готовые к употреблению пищевые продукты из фруктов, овощей, ягод (консервированные овощи, грибы, варенья, джемы, сиропы, концентраты напитки соки) должны проходить исследования на радиационную безопасность.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Содержание радионуклидов в табаке и табачных изделиях не должно превышать по цезию 137 – 120 Бк/кг, стронцию 90 – 50 Бк/кг.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Оценка радиоактивности твердого топлива (уголь)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показатели мощности дозы гамма-излучения и определение однородности участка. Участки месторождения (пласта) считаются однородными при разности значений мощности эквивалентной дозы гамма излучения не более 30 % на всей поверхности;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удельную активность природных радионуклидов угля и золы.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оценка радиоактивности твердого топлива производится на стадии разведки месторождения или поверхностной съемки территории для открытого карьера или пласта в забое скважины.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Индивидуальная годовая эффективная доза не должна превышать 10 мкЗв, а коллективная эффективная годовая доза - не более 1 человек - Зв.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системы ограничений и вида безопасного использования топлива производится на основании анализа удельной активности природных радионуклидов. Сумма отношений удельной активности радионуклидов урана (радия) и тория к минимально значимым удельным активностям (С </w:t>
      </w:r>
      <w:r>
        <w:rPr>
          <w:rFonts w:ascii="Times New Roman"/>
          <w:b w:val="false"/>
          <w:i w:val="false"/>
          <w:color w:val="000000"/>
          <w:vertAlign w:val="superscript"/>
        </w:rPr>
        <w:t>уголь</w:t>
      </w:r>
      <w:r>
        <w:rPr>
          <w:rFonts w:ascii="Times New Roman"/>
          <w:b w:val="false"/>
          <w:i w:val="false"/>
          <w:color w:val="000000"/>
          <w:sz w:val="28"/>
        </w:rPr>
        <w:t>), определяется по формуле: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25654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А</w:t>
      </w:r>
      <w:r>
        <w:rPr>
          <w:rFonts w:ascii="Times New Roman"/>
          <w:b w:val="false"/>
          <w:i w:val="false"/>
          <w:color w:val="000000"/>
          <w:vertAlign w:val="subscript"/>
        </w:rPr>
        <w:t>U(Ra)</w:t>
      </w:r>
      <w:r>
        <w:rPr>
          <w:rFonts w:ascii="Times New Roman"/>
          <w:b w:val="false"/>
          <w:i w:val="false"/>
          <w:color w:val="000000"/>
          <w:sz w:val="28"/>
        </w:rPr>
        <w:t>, А</w:t>
      </w:r>
      <w:r>
        <w:rPr>
          <w:rFonts w:ascii="Times New Roman"/>
          <w:b w:val="false"/>
          <w:i w:val="false"/>
          <w:color w:val="000000"/>
          <w:vertAlign w:val="subscript"/>
        </w:rPr>
        <w:t>Th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удельная активность U (</w:t>
      </w:r>
      <w:r>
        <w:rPr>
          <w:rFonts w:ascii="Times New Roman"/>
          <w:b w:val="false"/>
          <w:i w:val="false"/>
          <w:color w:val="000000"/>
          <w:vertAlign w:val="superscript"/>
        </w:rPr>
        <w:t>226</w:t>
      </w:r>
      <w:r>
        <w:rPr>
          <w:rFonts w:ascii="Times New Roman"/>
          <w:b w:val="false"/>
          <w:i w:val="false"/>
          <w:color w:val="000000"/>
          <w:sz w:val="28"/>
        </w:rPr>
        <w:t xml:space="preserve">Ra), </w:t>
      </w:r>
      <w:r>
        <w:rPr>
          <w:rFonts w:ascii="Times New Roman"/>
          <w:b w:val="false"/>
          <w:i w:val="false"/>
          <w:color w:val="000000"/>
          <w:vertAlign w:val="superscript"/>
        </w:rPr>
        <w:t>232</w:t>
      </w:r>
      <w:r>
        <w:rPr>
          <w:rFonts w:ascii="Times New Roman"/>
          <w:b w:val="false"/>
          <w:i w:val="false"/>
          <w:color w:val="000000"/>
          <w:sz w:val="28"/>
        </w:rPr>
        <w:t>Th, находящихся в радиоактивном равновесии с остальными членами уранового и ториевого рядов, соответственно, Бк/кг.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1000-минимально значимая удельная активность (МЗУА) природного урана и тория, Бк/кг,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значения С </w:t>
      </w:r>
      <w:r>
        <w:rPr>
          <w:rFonts w:ascii="Times New Roman"/>
          <w:b w:val="false"/>
          <w:i w:val="false"/>
          <w:color w:val="000000"/>
          <w:vertAlign w:val="superscript"/>
        </w:rPr>
        <w:t>уголь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устанавливается класс радиационной опасности угля:</w:t>
      </w:r>
    </w:p>
    <w:bookmarkEnd w:id="21"/>
    <w:bookmarkStart w:name="z10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22"/>
    <w:bookmarkStart w:name="z10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Классы радиационной опасности угля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4453"/>
        <w:gridCol w:w="5313"/>
      </w:tblGrid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 угля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отношений удельной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радионуклидов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МЗУА, С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уголь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использования угля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вводится никаких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использование угля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угля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запрещено</w:t>
            </w:r>
          </w:p>
        </w:tc>
      </w:tr>
    </w:tbl>
    <w:bookmarkStart w:name="z10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 объект недропользования по добыче твердого топлива при отводе земельного участка и при эксплуатации твердого топлива населением на основании проведенной санитарно-эпидемиологической экспертизы выдается санитарно-эпидемиологическое заключение территориальных органов государственной санитарно-эпидемиологической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Установление класса радиационной опасности золы и вида ее безопасного использования в качестве строительного материала осуществляется по показателю удельной эффективной активности.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и прогнозирование удельной эффективной активности золы, образующейся при сжигании топлива, могут быть проведены по результатам радиационных испытаний угля и определяется по формуле: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зола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эфф. прогн. </w:t>
      </w:r>
      <w:r>
        <w:rPr>
          <w:rFonts w:ascii="Times New Roman"/>
          <w:b w:val="false"/>
          <w:i w:val="false"/>
          <w:color w:val="000000"/>
          <w:sz w:val="28"/>
        </w:rPr>
        <w:t xml:space="preserve">= А </w:t>
      </w:r>
      <w:r>
        <w:rPr>
          <w:rFonts w:ascii="Times New Roman"/>
          <w:b w:val="false"/>
          <w:i w:val="false"/>
          <w:color w:val="000000"/>
          <w:vertAlign w:val="superscript"/>
        </w:rPr>
        <w:t>уголь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эфф. </w:t>
      </w:r>
      <w:r>
        <w:rPr>
          <w:rFonts w:ascii="Times New Roman"/>
          <w:b w:val="false"/>
          <w:i w:val="false"/>
          <w:color w:val="000000"/>
          <w:sz w:val="28"/>
        </w:rPr>
        <w:t xml:space="preserve">х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к </w:t>
      </w:r>
      <w:r>
        <w:rPr>
          <w:rFonts w:ascii="Times New Roman"/>
          <w:b w:val="false"/>
          <w:i w:val="false"/>
          <w:color w:val="000000"/>
          <w:sz w:val="28"/>
        </w:rPr>
        <w:t xml:space="preserve">+ Д </w:t>
      </w:r>
      <w:r>
        <w:rPr>
          <w:rFonts w:ascii="Times New Roman"/>
          <w:b w:val="false"/>
          <w:i w:val="false"/>
          <w:color w:val="000000"/>
          <w:vertAlign w:val="superscript"/>
        </w:rPr>
        <w:t>уголь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А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уголь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эфф </w:t>
      </w:r>
      <w:r>
        <w:rPr>
          <w:rFonts w:ascii="Times New Roman"/>
          <w:b w:val="false"/>
          <w:i w:val="false"/>
          <w:color w:val="000000"/>
          <w:sz w:val="28"/>
        </w:rPr>
        <w:t>- удельная эффективная активность природных радионуклидов в пробе угля;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к </w:t>
      </w:r>
      <w:r>
        <w:rPr>
          <w:rFonts w:ascii="Times New Roman"/>
          <w:b w:val="false"/>
          <w:i w:val="false"/>
          <w:color w:val="000000"/>
          <w:sz w:val="28"/>
        </w:rPr>
        <w:t>- коэффициент концентрации радионуклидов в золе,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к </w:t>
      </w:r>
      <w:r>
        <w:rPr>
          <w:rFonts w:ascii="Times New Roman"/>
          <w:b w:val="false"/>
          <w:i w:val="false"/>
          <w:color w:val="000000"/>
          <w:sz w:val="28"/>
        </w:rPr>
        <w:t>= --------,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</w:t>
      </w:r>
      <w:r>
        <w:rPr>
          <w:rFonts w:ascii="Times New Roman"/>
          <w:b w:val="false"/>
          <w:i w:val="false"/>
          <w:color w:val="000000"/>
          <w:vertAlign w:val="superscript"/>
        </w:rPr>
        <w:t>d</w:t>
      </w:r>
    </w:p>
    <w:bookmarkEnd w:id="25"/>
    <w:bookmarkStart w:name="z11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d </w:t>
      </w:r>
      <w:r>
        <w:rPr>
          <w:rFonts w:ascii="Times New Roman"/>
          <w:b w:val="false"/>
          <w:i w:val="false"/>
          <w:color w:val="000000"/>
          <w:sz w:val="28"/>
        </w:rPr>
        <w:t>- зольность угля,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уголь </w:t>
      </w:r>
      <w:r>
        <w:rPr>
          <w:rFonts w:ascii="Times New Roman"/>
          <w:b w:val="false"/>
          <w:i w:val="false"/>
          <w:color w:val="000000"/>
          <w:sz w:val="28"/>
        </w:rPr>
        <w:t xml:space="preserve">- абсолютная погрешность определения А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уголь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эфф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значения удельной активности устанавливается класс радиационной опасности и вид использования:</w:t>
      </w:r>
    </w:p>
    <w:bookmarkEnd w:id="26"/>
    <w:bookmarkStart w:name="z1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27"/>
    <w:bookmarkStart w:name="z1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Классы радиационной опасности золы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3853"/>
        <w:gridCol w:w="7453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эффективная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зола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эфф. прогн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зола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эфф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Бк/кг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безопасного использования золы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370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может использоваться в строящихся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реконструируемых жилых и общественных зданиях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370 до 740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может использоваться в 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в пределах территории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и зон перспективной застройки, а 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 при возведении производственных сооружений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740-1500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может использоваться в 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вне населенных пунктов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1500 до 4000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использования золы решается в каждом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отдельно по согласованию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территориальными органами госсанэпидслужбы</w:t>
            </w:r>
          </w:p>
        </w:tc>
      </w:tr>
    </w:tbl>
    <w:bookmarkStart w:name="z1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Технология разведки, добычи, транспортировки и переработки нефтяной и нефтеводяной суспензии должна исключать возможность загрязнения естественными радионуклидами технологического оборудования и объектов окружающей среды выше уровней предусмотренных настоящими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содержании в нефти природных радионуклидов в количестве не более 10 уровней вмешательства (УВ) для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 она может использоваться без ограничения. При содержании радионуклидов более 10 уровней вмешательства для воды нефть может быть допущена к переработке только после ее очистки до указанной величины (10 УВ).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Содержание естественных радионуклидов в пластовых водах, закачиваемых в нефтегазоностный горизонт в процессе добычи нефтепродуктов не нормируется. При закачке их в водоносные горизонты или сбросе на рельеф местности концентрации ЕРН в них не должна превышать 10 УВ для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Удельная активность природных радионуклидов в минеральных удобрениях и агрохимикатах не должна превышать: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drawing>
          <wp:inline distT="0" distB="0" distL="0" distR="0">
            <wp:extent cx="11430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кБк/кг,</w:t>
      </w:r>
    </w:p>
    <w:bookmarkStart w:name="z1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А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</w:t>
      </w:r>
      <w:r>
        <w:rPr>
          <w:rFonts w:ascii="Times New Roman"/>
          <w:b w:val="false"/>
          <w:i w:val="false"/>
          <w:color w:val="000000"/>
          <w:vertAlign w:val="subscript"/>
        </w:rPr>
        <w:t>Th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удельные активности урана-238 (радия-226) и тория-232 (тория-228), находящихся в радиоактивном равновесии с остальными членами уранового и ториевого рядов,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Допустимое содержание </w:t>
      </w:r>
      <w:r>
        <w:rPr>
          <w:rFonts w:ascii="Times New Roman"/>
          <w:b w:val="false"/>
          <w:i w:val="false"/>
          <w:color w:val="000000"/>
          <w:vertAlign w:val="superscript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К в минеральных удобрениях и агрохимикатах не устанавливается. При обращении с материалами, содержащими </w:t>
      </w:r>
      <w:r>
        <w:rPr>
          <w:rFonts w:ascii="Times New Roman"/>
          <w:b w:val="false"/>
          <w:i w:val="false"/>
          <w:color w:val="000000"/>
          <w:vertAlign w:val="superscript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К, должны соблюдаться требования по ограничению облучения населения за счет природных источников излучения, установленные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пунктах 25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Удельная активность природных радионуклидов в фосфорных удобрениях и мелиорантах не должна превышать: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11811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кБк/кг,</w:t>
      </w:r>
    </w:p>
    <w:bookmarkStart w:name="z1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А</w:t>
      </w:r>
      <w:r>
        <w:rPr>
          <w:rFonts w:ascii="Times New Roman"/>
          <w:b w:val="false"/>
          <w:i w:val="false"/>
          <w:color w:val="000000"/>
          <w:vertAlign w:val="subscript"/>
        </w:rPr>
        <w:t>U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</w:t>
      </w:r>
      <w:r>
        <w:rPr>
          <w:rFonts w:ascii="Times New Roman"/>
          <w:b w:val="false"/>
          <w:i w:val="false"/>
          <w:color w:val="000000"/>
          <w:vertAlign w:val="subscript"/>
        </w:rPr>
        <w:t>Th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удельные активности урана-238 (радия-226) и тория-232 (тория-228), находящихся в радиоактивном равновесии с остальными членами уранового и ториевого рядов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Для обеспечения радиационной безопасности населения и работников организаций и планирования видов и объема радиационного контроля при обращении с материалами с повышенным содержанием природных радионуклидов вводится следующая их классификация: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I класс: А 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740 Бк/кг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II класс: 0,74 &lt;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эфф </w:t>
      </w:r>
      <w:r>
        <w:rPr>
          <w:rFonts w:ascii="Times New Roman"/>
          <w:b w:val="false"/>
          <w:i w:val="false"/>
          <w:color w:val="000000"/>
          <w:vertAlign w:val="subscript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1,5 кБк/кг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III класс: 1, 5 &lt; А 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4,0 кБк/кг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IV класс: А </w:t>
      </w:r>
      <w:r>
        <w:rPr>
          <w:rFonts w:ascii="Times New Roman"/>
          <w:b w:val="false"/>
          <w:i w:val="false"/>
          <w:color w:val="000000"/>
          <w:vertAlign w:val="subscript"/>
        </w:rPr>
        <w:t>эфф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4,0 кБк/кг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Обращение с материалами I класса в производственных условиях осуществляется без каких-либо ограничений.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работе с материалами II III, IV класса проводится санитарно-эпидемиологической экспертиза, на основании которой органами государственной санитарно-эпидемиологической службой выдается соответствующее санитарно-эпидемиологическое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Предприятие до начала разработки месторождения строительных материалов, минеральных удобрений, мелиорантов и топливно-энергетического сырья должно получить санитарно-эпидемиологическое заключение органов государственной санитарно-эпидемиологической службы о степени его радиационной опасности и условиях использования материалов. </w:t>
      </w:r>
    </w:p>
    <w:bookmarkEnd w:id="31"/>
    <w:bookmarkStart w:name="z13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Норматив по ограничению медицинского облучения</w:t>
      </w:r>
    </w:p>
    <w:bookmarkEnd w:id="32"/>
    <w:bookmarkStart w:name="z1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Радиационная защита пациентов при медицинском облучении основывается на необходимости получения полезной диагностической информации и/или терапевтического эффекта от соответствующих медицинских процедур при наименьших уровнях облучения (для лучевой терапии это требование относится к здоровым, не намеренно облучаемым, органам и тканям). Для обеспечения радиационной защиты пациентов применяются принципы обоснования назначения медицинских процедур и оптимизации защиты пациентов. При проведении профилактических медицинских рентгенологических исследований и научных исследований практически здоровых лиц годовая эффективная доза облучения этих лиц не должна превышать 1 мЗв.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Лица (не персонал рентгенорадиологических отделений), оказывающие помощь в поддержке пациентов (тяжелобольных, детей) при выполнении рентгенорадиологических процедур, не должны подвергаться облучению в дозе, превышающей 5 мЗв в год. Такие же требования предъявляются к радиационной безопасности взрослых лиц, проживающих вместе с пациентами, прошедшими курс радионуклидной терапии или брахитерапии с имплантацией закрытых источников и выписанных из клиники. Для остальных взрослых лиц, а также для детей, контактирующих с пациентами, выписанными из клиники после радионуклидной терапии или брахитерапии, предел дозы составляет 1 мЗв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Пациенты, проходящие курс радионуклидной терапии или брахитерапии с имплантацией закрытых источников, могут быть выписаны из клиники при условии, что уровень гамма - излучения, испускаемого из тела, удовлетворяет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 Выписка пациента после терапии радионуклидами, указанными в таблице 5 настоящих нормативов, допускается, если введенная или остаточная активность радионуклидов в теле или измеренная мощность дозы в воздухе вблизи тела пациента ниже соответствующих значений, приведенных таблице 5. Перед выпиской пациентам следует дать письменные и устные инструкции относительно мер предосторожности, которые они должны принимать с тем, чтобы защитить от облучения членов семьи, с которыми они могут вступать в контакт. Такие же требования предъявляются к режиму амбулаторного лечения пациентов.</w:t>
      </w:r>
    </w:p>
    <w:bookmarkEnd w:id="33"/>
    <w:bookmarkStart w:name="z1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</w:t>
      </w:r>
    </w:p>
    <w:bookmarkEnd w:id="34"/>
    <w:bookmarkStart w:name="z1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Активность радионуклидов в теле взрослого пациента (ГБк)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радионуклидной терапии или брахитерапии с имплантацией закрытых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источников и мощность эквивалентной дозы (мкЗв/ч) на расстоянии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м от поверхности тела, при которых разрешается выписка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пациента из клиники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3297"/>
        <w:gridCol w:w="3446"/>
        <w:gridCol w:w="3314"/>
      </w:tblGrid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полураспада,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теле, ГБк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мкЗв/ч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bookmarkStart w:name="z1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составе имплантантов для брахитерапии предстательной железы.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многократного лечения в течение года активность в теле и мощность дозы должны быть уменьшены в число раз, равное числу курсов лечения за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В случае смерти пациента, в организме которого находится кардиостимулятор с радионуклидным источником энергии, кремация тела проводится после удаления источника.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При планировании и проведении процедур, связанных с облучением ионизирующим излучением, в медицинской организации определяются и регистрируются дозы у всех лиц, подвергающихся медицинскому облучению.</w:t>
      </w:r>
    </w:p>
    <w:bookmarkEnd w:id="36"/>
    <w:bookmarkStart w:name="z1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Норматив по ограничению облучения населения в условиях</w:t>
      </w:r>
      <w:r>
        <w:br/>
      </w:r>
      <w:r>
        <w:rPr>
          <w:rFonts w:ascii="Times New Roman"/>
          <w:b/>
          <w:i w:val="false"/>
          <w:color w:val="000000"/>
        </w:rPr>
        <w:t>
радиационной аварии</w:t>
      </w:r>
    </w:p>
    <w:bookmarkEnd w:id="37"/>
    <w:bookmarkStart w:name="z1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Защитные мероприятия проводятся, если предполагаемая доза излучения за короткий срок (2 суток) достигает уровней, при превышении которых возможны детерминированные эффекты (таблица 6 к настоящим нормативам).</w:t>
      </w:r>
    </w:p>
    <w:bookmarkEnd w:id="38"/>
    <w:bookmarkStart w:name="z1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</w:t>
      </w:r>
    </w:p>
    <w:bookmarkEnd w:id="39"/>
    <w:bookmarkStart w:name="z1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Прогнозируемые уровни облучения,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которых необходимы защитные мероприятия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8233"/>
      </w:tblGrid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или ткань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Поглощенная доза в органе или ткани за 2 суток, Гр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тело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Легкие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Щитовидная железа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Хрусталик глаза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Гонады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bookmarkStart w:name="z1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хроническом облучении в течение жизни защитные мероприятия обязательны, если годовые поглощенные дозы превышают уровни, создающие риск серьезных детерминированных эффектов указанных в таблице 7 к настоящим нормативам.</w:t>
      </w:r>
    </w:p>
    <w:bookmarkEnd w:id="41"/>
    <w:bookmarkStart w:name="z1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</w:t>
      </w:r>
    </w:p>
    <w:bookmarkEnd w:id="42"/>
    <w:bookmarkStart w:name="z1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Уровни хронического облучения, создающие риск серьезных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детерминированных эффектов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6"/>
        <w:gridCol w:w="9194"/>
      </w:tblGrid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или ткань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поглощенная доза, Гр</w:t>
            </w:r>
          </w:p>
        </w:tc>
      </w:tr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Гонады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Хрусталик глаза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костный мозг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</w:tbl>
    <w:bookmarkStart w:name="z1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Уровни вмешательства для временного отселения населения составляют: для начала временного отселения - 30 мЗв в месяц, для окончания временного отселения 10 мЗв в месяц. Если прогнозируется, что накопленная за один месяц доза будет находиться выше указанных уровней в течение года, следует решать вопрос об отселении населения на постоянное место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При проведении противорадиационных вмешательств, пределы доз (</w:t>
      </w:r>
      <w:r>
        <w:rPr>
          <w:rFonts w:ascii="Times New Roman"/>
          <w:b w:val="false"/>
          <w:i w:val="false"/>
          <w:color w:val="000000"/>
          <w:sz w:val="28"/>
        </w:rPr>
        <w:t>таблица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нормативов) не применяются.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При аварии, повлекшей за собой радиоактивное загрязнение обширной территории, на основании контроля и прогноза радиационной обстановки устанавливается зона радиационной аварии. В зоне радиационной аварии проводится контроль радиационной обстановки и осуществляются мероприятия по снижению уровней облучения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Принятие решений о мерах защиты населения в случае крупной радиационной аварии с радиоактивным загрязнением территории проводится на основании сравнения прогнозируемой дозы, предотвращаемой защитным мероприятием, и уровней загрязнения с уровнями А и Б, приведенными в таблице 8 к настоящим нормативам. Условия принятия решений об ограничении потребления загрязненных продуктов и воды приведены в таблицах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44"/>
    <w:bookmarkStart w:name="z1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</w:t>
      </w:r>
    </w:p>
    <w:bookmarkEnd w:id="45"/>
    <w:bookmarkStart w:name="z1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Критерии для принятия неотложных решений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начальном периоде радиационной аварии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7"/>
        <w:gridCol w:w="2611"/>
        <w:gridCol w:w="2621"/>
        <w:gridCol w:w="2621"/>
        <w:gridCol w:w="2630"/>
      </w:tblGrid>
      <w:tr>
        <w:trPr>
          <w:trHeight w:val="30" w:hRule="atLeast"/>
        </w:trPr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защиты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Предотвращаемая доза за первые 10 суток, мГр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все тело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щитовидная железа, легкие,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Б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Б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Йодная профилактика: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Эвакуация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1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только для щитовидной железы.</w:t>
      </w:r>
    </w:p>
    <w:bookmarkEnd w:id="47"/>
    <w:bookmarkStart w:name="z1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9</w:t>
      </w:r>
    </w:p>
    <w:bookmarkEnd w:id="48"/>
    <w:bookmarkStart w:name="z1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Критерии для принятия решений 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2"/>
        <w:gridCol w:w="3741"/>
        <w:gridCol w:w="4023"/>
      </w:tblGrid>
      <w:tr>
        <w:trPr>
          <w:trHeight w:val="30" w:hRule="atLeast"/>
        </w:trPr>
        <w:tc>
          <w:tcPr>
            <w:tcW w:w="4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Предотвращаемая эффективная доза, мЗв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А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Б</w:t>
            </w:r>
          </w:p>
        </w:tc>
      </w:tr>
      <w:tr>
        <w:trPr>
          <w:trHeight w:val="30" w:hRule="atLeast"/>
        </w:trPr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загрязненных 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и питьевой воды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за первый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/год в 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за первый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/год в 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4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Отселение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за первый год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за первый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за все время отселения</w:t>
            </w:r>
          </w:p>
        </w:tc>
      </w:tr>
    </w:tbl>
    <w:bookmarkStart w:name="z1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уровень облучения, предотвращаемого защитным мероприятием не превосходит уровень А, меры защиты связанные с нарушением нормальной жизнедеятельности населения, а также хозяйственного и социального функционирования территории могут не проводиться.</w:t>
      </w:r>
    </w:p>
    <w:bookmarkEnd w:id="50"/>
    <w:bookmarkStart w:name="z1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10</w:t>
      </w:r>
    </w:p>
    <w:bookmarkEnd w:id="51"/>
    <w:bookmarkStart w:name="z1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Критерии для принятия решений об ограничении потребления загрязненных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продуктов питания в первый год после возникновения аварии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2"/>
        <w:gridCol w:w="3741"/>
        <w:gridCol w:w="4163"/>
      </w:tblGrid>
      <w:tr>
        <w:trPr>
          <w:trHeight w:val="30" w:hRule="atLeast"/>
        </w:trPr>
        <w:tc>
          <w:tcPr>
            <w:tcW w:w="4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 активность радионуклида в 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продуктах, кБк/кг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А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Б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Cs,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239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Pu,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bookmarkStart w:name="z1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предотвращаемое защитным мероприятием облучение превосходит уровень А, но не достигает уровня Б, решение о выполнении мер защиты принимается по принципам обоснования и оптимизации с учетом конкретной обстановки и местных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уровень облучения, предотвращаемого достигает и превосходит уровень Б выполняются соответствующие меры защиты, даже если они связаны с нарушением нормальной жизнедеятельности населения, хозяйственного и социального функционирования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На поздних стадиях радиационной аварии, повлекшей за собой загрязнение обширных территорий долгоживущими радионуклидами, решения о защитных мероприятиях принимаются с учетом сложившейся радиационной обстановки и конкретных социально-экономических условий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нормативам).</w:t>
      </w:r>
    </w:p>
    <w:bookmarkEnd w:id="53"/>
    <w:bookmarkStart w:name="z1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Значения допустимых уровней радиационного воздействия в</w:t>
      </w:r>
      <w:r>
        <w:br/>
      </w:r>
      <w:r>
        <w:rPr>
          <w:rFonts w:ascii="Times New Roman"/>
          <w:b/>
          <w:i w:val="false"/>
          <w:color w:val="000000"/>
        </w:rPr>
        <w:t>
нормальных условиях эксплуатации источников ионизирующего</w:t>
      </w:r>
      <w:r>
        <w:br/>
      </w:r>
      <w:r>
        <w:rPr>
          <w:rFonts w:ascii="Times New Roman"/>
          <w:b/>
          <w:i w:val="false"/>
          <w:color w:val="000000"/>
        </w:rPr>
        <w:t>
излучения</w:t>
      </w:r>
    </w:p>
    <w:bookmarkEnd w:id="54"/>
    <w:bookmarkStart w:name="z1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Для каждой категории облучаемых лиц значение допустимого уровня радиационного воздействия для данного пути облучения определено годовому пределу дозы (усредненному за пять лет),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Значения допустимых уровней для всех путей облучения определены для стандартных условий, которые характеризуются следующими параметрами: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объемом вдыхаемого воздуха V, с которым радионуклид поступает в организм на протяжении календарного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временем облучения t в течение календарного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массой питьевой воды М, с которой радионуклид поступает в организм на протяжении календарного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геометрией внешнего облучения потоками ионизирующего излучения.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персонала установлены следующие значения стандартных параметров: V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 xml:space="preserve"> = 2,4 x 10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год; t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1700 ч в год; M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 xml:space="preserve"> =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населения установлены следующие значения стандартных параметров: t</w:t>
      </w:r>
      <w:r>
        <w:rPr>
          <w:rFonts w:ascii="Times New Roman"/>
          <w:b w:val="false"/>
          <w:i w:val="false"/>
          <w:color w:val="000000"/>
          <w:vertAlign w:val="subscript"/>
        </w:rPr>
        <w:t>нас</w:t>
      </w:r>
      <w:r>
        <w:rPr>
          <w:rFonts w:ascii="Times New Roman"/>
          <w:b w:val="false"/>
          <w:i w:val="false"/>
          <w:color w:val="000000"/>
          <w:sz w:val="28"/>
        </w:rPr>
        <w:t xml:space="preserve"> = 8800 ч в год; M</w:t>
      </w:r>
      <w:r>
        <w:rPr>
          <w:rFonts w:ascii="Times New Roman"/>
          <w:b w:val="false"/>
          <w:i w:val="false"/>
          <w:color w:val="000000"/>
          <w:vertAlign w:val="subscript"/>
        </w:rPr>
        <w:t>нас</w:t>
      </w:r>
      <w:r>
        <w:rPr>
          <w:rFonts w:ascii="Times New Roman"/>
          <w:b w:val="false"/>
          <w:i w:val="false"/>
          <w:color w:val="000000"/>
          <w:sz w:val="28"/>
        </w:rPr>
        <w:t xml:space="preserve"> = 730 кг в год для взрослых. Годовой объем вдыхаемого воздуха установлен в зависимости от возраста:</w:t>
      </w:r>
    </w:p>
    <w:bookmarkEnd w:id="55"/>
    <w:bookmarkStart w:name="z1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11</w:t>
      </w:r>
    </w:p>
    <w:bookmarkEnd w:id="56"/>
    <w:bookmarkStart w:name="z1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Годовой объем вдыхаемого воздуха для разных возрастных групп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населения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333"/>
        <w:gridCol w:w="1493"/>
        <w:gridCol w:w="1533"/>
        <w:gridCol w:w="1493"/>
        <w:gridCol w:w="1333"/>
        <w:gridCol w:w="2333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(старше 17 лет)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V,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</w:tr>
    </w:tbl>
    <w:bookmarkStart w:name="z1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Числовые значения среднегодовых допустимых плотностей потоков частиц при внешнем облучении всего тела, кожи и хрусталика глаза лиц из персонала моноэнергетическими электронами, бета-частицами, моноэнергетическими фотонами и моноэнергетическими нейтронами, значения допустимого радиоактивного загрязнения поверхностей рабочих помещений и находящегося в них оборудования, кожных покровов, спецодежды, спецобуви и других средств индивидуальной защиты персонала, допустимые уровни снимаемого радиоактивного загрязнения поверхности транспортных средств приведены в таблицах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</w:p>
    <w:bookmarkEnd w:id="58"/>
    <w:bookmarkStart w:name="z1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12 </w:t>
      </w:r>
    </w:p>
    <w:bookmarkEnd w:id="59"/>
    <w:bookmarkStart w:name="z1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Значения эквивалентной дозы и среднегодовые допустимые плотности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потока моноэнергетических электронов для лиц из персонала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облучении кожи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2"/>
        <w:gridCol w:w="2213"/>
        <w:gridCol w:w="2336"/>
        <w:gridCol w:w="2132"/>
        <w:gridCol w:w="2866"/>
      </w:tblGrid>
      <w:tr>
        <w:trPr>
          <w:trHeight w:val="30" w:hRule="atLeast"/>
        </w:trPr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электронов, МэВ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Эквивалентная доза в коже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единичный флюенс,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допустимая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потока ДПП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1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ИЗО - изотропное (2</w:t>
      </w:r>
      <w:r>
        <w:drawing>
          <wp:inline distT="0" distB="0" distL="0" distR="0">
            <wp:extent cx="177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) поле излучения,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ПЗ - облучение параллельным пучком в передне-задней геометрии.</w:t>
      </w:r>
    </w:p>
    <w:bookmarkEnd w:id="61"/>
    <w:bookmarkStart w:name="z1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13</w:t>
      </w:r>
    </w:p>
    <w:bookmarkEnd w:id="62"/>
    <w:bookmarkStart w:name="z1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Значения эквивалентной дозы и среднегодовые допустимые плотности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потока моноэнергетических электронов для лиц из персонала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облучении хрусталиков глаз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8"/>
        <w:gridCol w:w="2219"/>
        <w:gridCol w:w="2342"/>
        <w:gridCol w:w="2138"/>
        <w:gridCol w:w="2262"/>
      </w:tblGrid>
      <w:tr>
        <w:trPr>
          <w:trHeight w:val="3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электронов, МэВ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Эквивалентная доза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хрусталике на единичный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флюенс,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 .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допустимая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потока ДПП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bookmarkStart w:name="z1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ИЗО - изотропное (2</w:t>
      </w:r>
      <w:r>
        <w:drawing>
          <wp:inline distT="0" distB="0" distL="0" distR="0">
            <wp:extent cx="177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) поле излучения, ПЗ - облучение параллельным пучком в передне-задней геометрии.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Флюенс частиц F - отношение dN/d</w:t>
      </w:r>
      <w:r>
        <w:drawing>
          <wp:inline distT="0" distB="0" distL="0" distR="0">
            <wp:extent cx="152400" cy="12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 где dN - количество частиц, падающих на сферу с площадью поперечного сечения d</w:t>
      </w:r>
      <w:r>
        <w:drawing>
          <wp:inline distT="0" distB="0" distL="0" distR="0">
            <wp:extent cx="152400" cy="12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1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 = dN/d</w:t>
      </w:r>
      <w:r>
        <w:drawing>
          <wp:inline distT="0" distB="0" distL="0" distR="0">
            <wp:extent cx="152400" cy="12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, м</w:t>
      </w:r>
      <w:r>
        <w:rPr>
          <w:rFonts w:ascii="Times New Roman"/>
          <w:b w:val="false"/>
          <w:i w:val="false"/>
          <w:color w:val="000000"/>
          <w:vertAlign w:val="superscript"/>
        </w:rPr>
        <w:t>-2</w:t>
      </w:r>
    </w:p>
    <w:bookmarkEnd w:id="65"/>
    <w:bookmarkStart w:name="z1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потока частиц n - отношение dN/(d</w:t>
      </w:r>
      <w:r>
        <w:drawing>
          <wp:inline distT="0" distB="0" distL="0" distR="0">
            <wp:extent cx="152400" cy="12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.dt), где dN - количество частиц, падающих на сферу с площадью поперечного сечения d</w:t>
      </w:r>
      <w:r>
        <w:drawing>
          <wp:inline distT="0" distB="0" distL="0" distR="0">
            <wp:extent cx="152400" cy="12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за интервал времени dt:</w:t>
      </w:r>
    </w:p>
    <w:bookmarkEnd w:id="66"/>
    <w:bookmarkStart w:name="z1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= dN/(d</w:t>
      </w:r>
      <w:r>
        <w:drawing>
          <wp:inline distT="0" distB="0" distL="0" distR="0">
            <wp:extent cx="152400" cy="12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. dt), м</w:t>
      </w:r>
      <w:r>
        <w:rPr>
          <w:rFonts w:ascii="Times New Roman"/>
          <w:b w:val="false"/>
          <w:i w:val="false"/>
          <w:color w:val="000000"/>
          <w:vertAlign w:val="superscript"/>
        </w:rPr>
        <w:t>-2.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7"/>
    <w:bookmarkStart w:name="z1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14 </w:t>
      </w:r>
    </w:p>
    <w:bookmarkEnd w:id="68"/>
    <w:bookmarkStart w:name="z1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Значения эквивалентной дозы и среднегодовые допустимые плотности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потока бета-частиц для лиц из персонала при контактном облучении кожи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3673"/>
        <w:gridCol w:w="4953"/>
      </w:tblGrid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бета-спектра, МэВ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Эквивалентная доза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коже на единичный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флюенс,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Зв.см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допустимая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потока ДПП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</w:tbl>
    <w:bookmarkStart w:name="z1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15</w:t>
      </w:r>
    </w:p>
    <w:bookmarkEnd w:id="70"/>
    <w:bookmarkStart w:name="z1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Значения эффективной дозы и среднегодовые допустимые плотности потока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моноэнергетических фотонов для лиц из персонала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внешнем облучении всего тела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1438"/>
        <w:gridCol w:w="1621"/>
        <w:gridCol w:w="1622"/>
        <w:gridCol w:w="1744"/>
        <w:gridCol w:w="4308"/>
      </w:tblGrid>
      <w:tr>
        <w:trPr>
          <w:trHeight w:val="30" w:hRule="atLeast"/>
        </w:trPr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доза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единичный флюенс,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 .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допустимая 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потока, ДПП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-2 .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  <w:tc>
          <w:tcPr>
            <w:tcW w:w="4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Керма в воздухе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единичный флюенс,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 .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1,63+05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6,77+04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7,43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8,73+04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2,62+04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3,12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0,0608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5,41+04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1,62+04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3,24+04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1,08+04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0,721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2,31+04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9,65+03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0,429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1,99+04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9,12+03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0,323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6,0-2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1,77+04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8,63+03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0,289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8,0-2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1,42+04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7,44+03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0,307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0,278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1,18+04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6,33+03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0,371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7,79+03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4,33+03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0,599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5,61+03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3,28+03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0,856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3,54+03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2,17+03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2,59+03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1,63+03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1,89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2,02+03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1,32+03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2,38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6,0-1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1,69+03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1,12+03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2,84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8,0-1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1,26+03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8,73+02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3,69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1,01+03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7,33+02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4,47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5,63+02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4,38+02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7,55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9,97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3,28+02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2,73+02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2,38+02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2,05+02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1,89+02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1,64+02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1,56+02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1,38+02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</w:tbl>
    <w:bookmarkStart w:name="z1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1)</w:t>
      </w:r>
      <w:r>
        <w:rPr>
          <w:rFonts w:ascii="Times New Roman"/>
          <w:b w:val="false"/>
          <w:i w:val="false"/>
          <w:color w:val="000000"/>
          <w:sz w:val="28"/>
        </w:rPr>
        <w:t>ИЗО - изотропное (4</w:t>
      </w:r>
      <w:r>
        <w:drawing>
          <wp:inline distT="0" distB="0" distL="0" distR="0">
            <wp:extent cx="177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) поле излучения, </w:t>
      </w:r>
      <w:r>
        <w:rPr>
          <w:rFonts w:ascii="Times New Roman"/>
          <w:b w:val="false"/>
          <w:i w:val="false"/>
          <w:color w:val="000000"/>
          <w:vertAlign w:val="superscript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ПЗ - облучение параллельным пучком в передне-задней геометрии.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Керма - отношение суммы начальных кинетических энергий dE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всех заряженных ионизирующих частиц, образовавшихся под действием косвенно ионизирующего излучения в элементарном объеме вещества, к массе dm вещества в этом объеме: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609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кермы - грей (Гр).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Керма и поглощенная доза равны друг другу в той степени, с какой достигается равновесие заряженных частиц и с какой можно пренебречь тормозным излучением и ослаблением потока фотонов на пути пробега вторичных электронов.</w:t>
      </w:r>
    </w:p>
    <w:bookmarkEnd w:id="73"/>
    <w:bookmarkStart w:name="z1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16 </w:t>
      </w:r>
    </w:p>
    <w:bookmarkEnd w:id="74"/>
    <w:bookmarkStart w:name="z1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Значения эквивалентной дозы и среднегодовые допустимые плотности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потока моноэнергетических фотонов для лиц из персонала при облучении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кожи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9"/>
        <w:gridCol w:w="2210"/>
        <w:gridCol w:w="2719"/>
        <w:gridCol w:w="1946"/>
        <w:gridCol w:w="3575"/>
      </w:tblGrid>
      <w:tr>
        <w:trPr>
          <w:trHeight w:val="30" w:hRule="atLeast"/>
        </w:trPr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фотонов, МэВ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Эквивалентная доза в коже на единичный флюенс,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Зв.см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допустимая 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ДПП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6,17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1,31+04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1,16+04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4,96+04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4,63+04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0,822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1,00+05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9,25+04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0,462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1,81+05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1,63+05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0,549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1,50+05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1,42+0,5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0,827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9,74+04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9,74+04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1,79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4,53+04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4,53+04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2,38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3,38+04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3,38+04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2,93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2,80+04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2,80+04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6,0-1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2,40+04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2,40+04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8,0-1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4,39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1,88+04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1,88+04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5,23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1,55+04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1,55+04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8,61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9,57+03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9,57+03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6,08+03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6,08+03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4,57+03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4,57+03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3,66+03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3,66+03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3,13+03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3,13+03</w:t>
            </w:r>
          </w:p>
        </w:tc>
      </w:tr>
    </w:tbl>
    <w:bookmarkStart w:name="z1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ИЗО - изотропное (2</w:t>
      </w:r>
      <w:r>
        <w:drawing>
          <wp:inline distT="0" distB="0" distL="0" distR="0">
            <wp:extent cx="177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) поле излучения, ПЗ - облучение параллельным пучком в передне-задней геометрии.</w:t>
      </w:r>
    </w:p>
    <w:bookmarkEnd w:id="76"/>
    <w:bookmarkStart w:name="z2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17</w:t>
      </w:r>
    </w:p>
    <w:bookmarkEnd w:id="77"/>
    <w:bookmarkStart w:name="z2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Значения эквивалентной дозы и среднегодовые допустимые плотности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потока моноэнергетических фотонов для лиц из персонала при облучении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хрусталиков глаз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9"/>
        <w:gridCol w:w="2210"/>
        <w:gridCol w:w="2718"/>
        <w:gridCol w:w="1945"/>
        <w:gridCol w:w="3717"/>
      </w:tblGrid>
      <w:tr>
        <w:trPr>
          <w:trHeight w:val="30" w:hRule="atLeast"/>
        </w:trPr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фотонов, МэВ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Эквивалентная доза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хрусталике на единичный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флюенс,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Зв.см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допустимая 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ДПП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0,669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3,66+04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1,08+04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0,749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3,29+04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1,16+04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0,622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3,97+04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1,60+04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0,375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6,55+04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2,85+04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9,07+04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4,27+04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0,239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1,03+05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5,33+04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6,0-2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0,234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1,06+05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5,67+04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8,0-2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0,264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9,05+04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5,16+04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0,326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7,26+04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4,34+04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0,545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4,59+04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2,88+04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0,762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3,31+04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2,11+04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2,09+04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1,39+04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1,54+04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1,06+04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1,24+04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8,64+03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6,0-1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2,39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1,04+04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7,34+03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8,0-1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7,90+03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5,87+03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3,76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6,53+03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4,91+03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6,64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3,68+03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3,09+03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2,20+03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2,00+03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1,62+03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1,57+03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1,29+03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1,29+03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1,06+03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1,10+03</w:t>
            </w:r>
          </w:p>
        </w:tc>
      </w:tr>
    </w:tbl>
    <w:bookmarkStart w:name="z2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ИЗО - изотропное (4</w:t>
      </w:r>
      <w:r>
        <w:drawing>
          <wp:inline distT="0" distB="0" distL="0" distR="0">
            <wp:extent cx="177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) поле излучения, ПЗ - облучение параллельным пучком в передне-задней геометрии.</w:t>
      </w:r>
    </w:p>
    <w:bookmarkEnd w:id="79"/>
    <w:bookmarkStart w:name="z2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18</w:t>
      </w:r>
    </w:p>
    <w:bookmarkEnd w:id="80"/>
    <w:bookmarkStart w:name="z2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Значения эффективной дозы и среднегодовые допустимые плотности потока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моноэнергетических нейтронов для лиц из персонала при внешнем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облучении всего тела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6"/>
        <w:gridCol w:w="2047"/>
        <w:gridCol w:w="2942"/>
        <w:gridCol w:w="1884"/>
        <w:gridCol w:w="2780"/>
      </w:tblGrid>
      <w:tr>
        <w:trPr>
          <w:trHeight w:val="30" w:hRule="atLeast"/>
        </w:trPr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нейтронов,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доза на единичный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флюенс,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Зв.см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допустимая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потока, ДПП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нейтроны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3,30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9,90+2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4,30+2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7,91+2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3,28+2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1,38+1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5,80+2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2,37+2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1,51+1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5,07+2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2,16+2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6,45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1,46+1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5,07+2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2,24+2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6,04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1,42+1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5,41+2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2,30+2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7,70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1,83+1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4,24+2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1,79+2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1,02+1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2,38+1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3,20+2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1,37+2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1,73+1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3,85+1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1,89+2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8,49+1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2,72+1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5,98+1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1,20+2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5,46+1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4,24+1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9,90+1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7,71+1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3,30+1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7,50+1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1,88+2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4,36+1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1,74+1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1,16+2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2,82+2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2,82+1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1,16+1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1,30+2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3,10+2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2,51+1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1,05+1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1,78+2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3,83+2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1,84+1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8,53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2,20+2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4,32+2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1,49+1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7,56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2,50+2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4,58+2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1,31+1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7,13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2,72+2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4,74+2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1,20+1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6,89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2,82+2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4,83+2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1,16+1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6,76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2,90+2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4,90+2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1,13+1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6,67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2,97+2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4,94+2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1,10+1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6,61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3,09+2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4,99+2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1,06+1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6,55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3,33+2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4,96+2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6,59</w:t>
            </w:r>
          </w:p>
        </w:tc>
      </w:tr>
      <w:tr>
        <w:trPr>
          <w:trHeight w:val="3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3,43+2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4,80+2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6,81</w:t>
            </w:r>
          </w:p>
        </w:tc>
      </w:tr>
    </w:tbl>
    <w:bookmarkStart w:name="z2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ИЗО - изотропное (4</w:t>
      </w:r>
      <w:r>
        <w:drawing>
          <wp:inline distT="0" distB="0" distL="0" distR="0">
            <wp:extent cx="177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) поле излучения, ПЗ - облучение параллельным пучком в переднезадней геометрии.</w:t>
      </w:r>
    </w:p>
    <w:bookmarkEnd w:id="82"/>
    <w:bookmarkStart w:name="z2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19</w:t>
      </w:r>
    </w:p>
    <w:bookmarkEnd w:id="83"/>
    <w:bookmarkStart w:name="z2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Допустимые уровни радиоактивного загрязнения поверхностей рабочих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и находящегося в них оборудования, кожных покровов,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спецодежды, спецобуви и других средств индивидуальной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персонала, част/(см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Чмин)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1"/>
        <w:gridCol w:w="2175"/>
        <w:gridCol w:w="2175"/>
        <w:gridCol w:w="2438"/>
      </w:tblGrid>
      <w:tr>
        <w:trPr>
          <w:trHeight w:val="30" w:hRule="atLeast"/>
        </w:trPr>
        <w:tc>
          <w:tcPr>
            <w:tcW w:w="5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загрязнения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Альфа-активные нуклиды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Бета-активные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нуклиды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Неповрежденная кожа, спецбелье,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полотенца, внутренняя поверхность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лицевых частей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 защиты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3)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спецодежда, внутренняя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поверхность дополнительных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индивидуальной защиты, наружная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поверхность спец обуви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Поверхности помещений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персонала и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них оборудования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Поверхности помещений 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персонала и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них оборудования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Наружная поверхность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индивидуальной защиты,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снимаемых в сан шлюзах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bookmarkStart w:name="z2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кожных покровов, специальной одежды и обуви, других средств индивидуальной защиты нормируется общее (снимаемое и неснимаемое) радиоактивное загрязнение. В остальных случаях нормируется только снимаемое загрязнение;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отдельным относятся альфа-активные нуклиды, среднегодовая допустимая объемная активность которых в воздухе рабочих помещений ДОА &lt; 0,3 Бк/м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</w:t>
      </w:r>
      <w:r>
        <w:rPr>
          <w:rFonts w:ascii="Times New Roman"/>
          <w:b w:val="false"/>
          <w:i w:val="false"/>
          <w:color w:val="000000"/>
          <w:vertAlign w:val="superscript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Sr + </w:t>
      </w:r>
      <w:r>
        <w:rPr>
          <w:rFonts w:ascii="Times New Roman"/>
          <w:b w:val="false"/>
          <w:i w:val="false"/>
          <w:color w:val="000000"/>
          <w:vertAlign w:val="superscript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>Y - 40 част/(см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Чмин).</w:t>
      </w:r>
    </w:p>
    <w:bookmarkEnd w:id="85"/>
    <w:bookmarkStart w:name="z2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20 </w:t>
      </w:r>
    </w:p>
    <w:bookmarkEnd w:id="86"/>
    <w:bookmarkStart w:name="z2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Допустимые уровни снимаемого радиоактивного загрязнения поверхности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транспортных средств, используемых для перевозки радиоактивных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 и материалов, част/(см</w:t>
      </w:r>
      <w:r>
        <w:rPr>
          <w:rFonts w:ascii="Times New Roman"/>
          <w:b w:val="false"/>
          <w:i w:val="false"/>
          <w:color w:val="000000"/>
          <w:vertAlign w:val="superscript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>мин)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7"/>
        <w:gridCol w:w="2620"/>
        <w:gridCol w:w="2625"/>
        <w:gridCol w:w="2604"/>
        <w:gridCol w:w="2634"/>
      </w:tblGrid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загрязнения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Снимаемое (нефиксированное)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Неснимаемое (фиксированное)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альфа-активные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бета-активные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альфа-активные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бета-активные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радионуклиды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 контейнера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регламентируется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тары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2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</w:t>
      </w:r>
      <w:r>
        <w:rPr>
          <w:rFonts w:ascii="Times New Roman"/>
          <w:b w:val="false"/>
          <w:i w:val="false"/>
          <w:color w:val="000000"/>
          <w:vertAlign w:val="superscript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Sr + </w:t>
      </w:r>
      <w:r>
        <w:rPr>
          <w:rFonts w:ascii="Times New Roman"/>
          <w:b w:val="false"/>
          <w:i w:val="false"/>
          <w:color w:val="000000"/>
          <w:vertAlign w:val="superscript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>Y - 40 част/(см</w:t>
      </w:r>
      <w:r>
        <w:rPr>
          <w:rFonts w:ascii="Times New Roman"/>
          <w:b w:val="false"/>
          <w:i w:val="false"/>
          <w:color w:val="000000"/>
          <w:vertAlign w:val="superscript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>мин).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Значения среднегодовых допустимых плотностей потоков частиц даны для широкого диапазона энергий излучения и двух наиболее вероятных геометрий облучения: изотропного (2</w:t>
      </w:r>
      <w:r>
        <w:drawing>
          <wp:inline distT="0" distB="0" distL="0" distR="0">
            <wp:extent cx="177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или 4</w:t>
      </w:r>
      <w:r>
        <w:drawing>
          <wp:inline distT="0" distB="0" distL="0" distR="0">
            <wp:extent cx="177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) поля излучения и падения параллельного пучка излучения на тело спереди (передне-задняя геометрия).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Для кожных покровов, специальной одежды и обуви, других средств индивидуальной защиты нормируется общее (снимаемое и не снимаемое) радиоактивное загрязнение. В остальных случаях нормируется только снимаемое загрязнение.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Уровни общего радиоактивного загрязнения кожных покровов определены с учетом проникновения доли радионуклида в кожу и в организм. Расчет проведен в предположении, что общая площадь загрязнения не должна превосходить 300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8"/>
    <w:bookmarkStart w:name="z2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гигиеническим нормативам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обеспечению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радиационной безопасности"        </w:t>
      </w:r>
    </w:p>
    <w:bookmarkEnd w:id="89"/>
    <w:bookmarkStart w:name="z22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Значения дозовых коэффициентов, предела годового поступления своздухом и допустимой среднегодовой объемной активности в воздухе отдельных радионуклидов для персонала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1"/>
        <w:gridCol w:w="2060"/>
        <w:gridCol w:w="1475"/>
        <w:gridCol w:w="2248"/>
        <w:gridCol w:w="2248"/>
        <w:gridCol w:w="3021"/>
      </w:tblGrid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нуклид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полураспада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ингаляции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перс, Зв/Бк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ПГППЕРС,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в год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ДОАПЕРС, Бк/м3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H-3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1,8-15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1,1+13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4,4+09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Г3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1,8-13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1,1+11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4,4+07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Be-7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Be-10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1,60+06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Г3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1,7+10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5,73+03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Г3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8,0-13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2,5+10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1,0+07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F-18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Na-22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2,60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Na-24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Mg-28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Al-26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7,16+05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Si-31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Si-32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4,50+02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P-32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P-33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S-35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Cl-36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3,01+05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Cl-38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Cl-39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K-40[]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1,28+09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K-42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K-43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K-44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0,369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K-45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Ca-41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1,40+05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Ca-45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Ca-47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Sc-43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3,89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Sc-44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Sc-44m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Sc-46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83,8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Sc-47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3,35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1,1+04</w:t>
            </w:r>
          </w:p>
        </w:tc>
      </w:tr>
      <w:tr>
        <w:trPr>
          <w:trHeight w:val="40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Sc-48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1,82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Sc-49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0,956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Ti-44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Ti-45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V-47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V-48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V-49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Cr-48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Cr-49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Cr-51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Mn-51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Mn-52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5,59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Mn-52m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Mn-53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3,70+06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Mn-54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Mn-56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Fe-52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Fe-55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2,70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Fe-59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Fe-60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1,00+05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7,1+04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Co-55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Co-56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78,7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Co-57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Co-58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Co-58m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Co-60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5,27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Co-60m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0,174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1,8+10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1,5+10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Co-61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Co-62m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Ni-56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Ni-57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Ni-59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7,50+04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Ni-63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Ni-65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Ni-66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2,27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Cu-60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Cu-61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3,41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Cu-64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Cu-67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2,58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Zn-62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9,26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Zn-63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Zn-65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Zn-69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Zn-69m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Zn-71m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Zn-72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Ga-65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Ga-66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Ga-67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Ga-68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Ga-70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Ga-72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Ga-73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4,91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Ge-66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Ge-68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Ge-69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Ge-71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Ge-67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Ge-75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Ge-77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Ge-78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As-69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As-70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0,876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As-71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As-72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As-73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As-74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As-76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As-77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As-78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Se-70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Se-73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Se-73m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Se-75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Se-79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6,50+04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Se-81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Se-81m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0,954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Se-83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Br-74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Br-74m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0,691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Br-75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1,5+05</w:t>
            </w:r>
          </w:p>
        </w:tc>
      </w:tr>
      <w:tr>
        <w:trPr>
          <w:trHeight w:val="30" w:hRule="atLeast"/>
        </w:trPr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Br-76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3,1+04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Br-77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Br-80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Br-80m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Br-82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2,2+04</w:t>
            </w:r>
          </w:p>
        </w:tc>
      </w:tr>
      <w:tr>
        <w:trPr>
          <w:trHeight w:val="64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Br-83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2,39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Br-84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Rb-79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Rb-81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Rb-81m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Rb-82m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Rb-83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86,2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Rb-84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Rb-86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Rb-88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Rb-89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Sr-80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Sr-81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Sr-82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Sr-83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Sr-85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64,8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Sr-85m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Sr-87m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Sr-89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Sr-90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29,1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Sr-91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Y-86m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Sr-92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2,71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Y-86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Y-86m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Y-87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3,35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Y-88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Y-90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2,67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Y-90m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3,19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Y-91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58,5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Y-91m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Y-92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3,54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Y-93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Y-94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Y-95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Zr-86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Zr-88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Zr-89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3,27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Zr-93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1,53+06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Zr-95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Zr-97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Nb-88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Nb-89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Nb-89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Nb-90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Nb-93m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Nb-94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2,03+04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Nb-95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Nb-95m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3,61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Nb-96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Nb-97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Nb-98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Mo-90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Mo-93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3,50+03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Mo-93m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Mo-99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Mo-101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0,244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Tc-93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2,4+05</w:t>
            </w:r>
          </w:p>
        </w:tc>
      </w:tr>
      <w:tr>
        <w:trPr>
          <w:trHeight w:val="43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Tc-93m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Tc-94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Tc-94m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Tc-95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Tc-95m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Tc-96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Tc-96m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Tc-97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2,60+06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Tc-97m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Tc-98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4,20+06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Tc-99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2,13+05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Tc-99m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Tc-101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Tc-104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Ru-94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Ru-97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Ru-103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Ru-105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4,44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Ru-106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Rh-99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Rh-99m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Rh-100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Rh-101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3,20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Rh-101m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Rh-102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2,90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Rh-102m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Rh-103m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8,6-13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2,3+10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Rh-105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3Rh-106m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Rh-107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Pd-100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Pd-101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Pd-103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Pd-107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6,50+06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Pd-109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Ag-102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Ag-103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Ag-104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Ag-104m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Ag-105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Ag-106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0,399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Ag-106m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8,41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Ag-108m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1,27+02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Ag-110m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Ag-111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7,45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Ag-112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Ag-115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Cd-104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0,961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Cd-107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6,49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Cd-109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Cd-113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9,30+15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Cd-113m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Cd-115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Cd-115m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Cd-117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2,49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Cd-117m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3,36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In-109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In-110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In-110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In-111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In-112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In-113m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In-114m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In-115m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4,49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In-116m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In-117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In-117m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In-119m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Sn-110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Sn-121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Sn-111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Sn-113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Sn-117m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Sn-119m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Sn-121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Sn-121m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Sn-123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Sn-123m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Sn-125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Sn-126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1,00+05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Sn-127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Sn-128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Sb-115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Sb-116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Sb-116m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Sb-117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8,6+05</w:t>
            </w:r>
          </w:p>
        </w:tc>
      </w:tr>
      <w:tr>
        <w:trPr>
          <w:trHeight w:val="37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Sb-118m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Sb-119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Sb-120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5,76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Sb-120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Sb-122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Sb-124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Sb-124m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Sb-125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2,77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Sb-126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Sb-126m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Sb-127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3,85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Sb-128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9,01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Sb-128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Sb-129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Sb-130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Sb-131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Te-116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2,49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Sb-129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Te-121m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Te-129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Te-123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1,00+13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Te-123m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Te-125m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Te-127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Te-127m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Te-129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Te-129m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Te-131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Te-131m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I-120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Te-132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Te-133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Te-133m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Te-134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0,696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I-120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I-120m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I-121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I-123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I-124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I-125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I-126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I-128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0,416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6,2+05</w:t>
            </w:r>
          </w:p>
        </w:tc>
      </w:tr>
      <w:tr>
        <w:trPr>
          <w:trHeight w:val="21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I-129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1,57+07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I-132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I-130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I-131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I-132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I-132m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I-133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I-134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0,876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I-135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6,61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Cs-125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Cs-127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Cs-129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9,69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6,48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2,06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Cs-134m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2,30+06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Cs-135m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0,536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2,30+06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Ba-126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1,61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Ba-128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Ba-131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Ba-131m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Ba-133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Ba-133m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Ba-135m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Ba-139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Ba-140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Ba-141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Ba-142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La-131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La-132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La-135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La-137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6,00+04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La-138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1,35+11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La-140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La-141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La-142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1,54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La-143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Ce-134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Ce-135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Ce-137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Ce-134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Ce-137m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Ce-139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Ce-141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Ce-143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Ce-144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Pr-136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Pr-137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Pr-138m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Pr-139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4,51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Pr-142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Pr-142m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Pr-143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Pr-144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Pr-145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Pr-147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Nd-136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0,844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Nd-138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5,04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Nd-139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Nd-139m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Nd-141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2,49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Nd-147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Nd-149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Nd-151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Pm-141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Pm-143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Pm-144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Pm-145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Pm-146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Pm-147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2,62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Pm-148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5,37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Pm-148m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Pm-149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2,21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Pm-150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Pm-151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Sm-141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Sm-141m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Sm-142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1,21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Sm-145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Sm-141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Sm-146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1,03+08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Sm-151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Sm-153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1,95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Sm-155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Sm-156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Eu-145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Eu-146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4,61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Eu-147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Eu-148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Eu-149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Eu-150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Eu-150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Eu-152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Eu-152m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Eu-154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8,80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Eu-155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4,96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Eu-156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Eu-157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Eu-158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Gd-145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Gd-146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Gd-147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Gd-148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Gd-149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Gd-151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Gd-152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1,08+14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Gd-153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Gd-159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Tb-154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Tb-147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Tb-149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Tb-150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Tb-151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Tb-153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Tb-154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Tb-155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5,32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Tb-156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Tb-156m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Tb-156m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Tb-157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1,50+02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Tb-158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1,50+02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Tb-160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Tb-161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6,91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Dy-155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Dy-157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Dy-159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Dy-165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Dy-166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Ho-155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Ho-157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Ho-159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Ho-161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Ho-162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Ho-162m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Ho-164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Ho-164m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Ho-166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Ho-166m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1,20+03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Ho-167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Er-161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Er-165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Er-169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Ho-162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Er-171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Er-172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Tm-162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Tm-166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Tm-167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Tm-170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Tm-171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Tm-172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2,65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Tm-173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8,24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Tm-175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Yb-162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Yb-166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2,36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Yb-167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Yb-169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Yb-175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4,19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Yb-177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Yb-178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Lu-169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1,42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Lu-170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1,2+04</w:t>
            </w:r>
          </w:p>
        </w:tc>
      </w:tr>
      <w:tr>
        <w:trPr>
          <w:trHeight w:val="28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Lu-171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8,22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Lu-172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Lu-173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Lu-174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3,31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Lu-174m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Lu-173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Lu-176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3,60+10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Lu-176m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Lu-177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6,71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Lu-177m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Lu-178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Lu-178m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Lu-179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4,59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Hf-170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Hf-172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1,87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Hf-173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Hf-175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Hf-177m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0,856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Hf-178m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7,7+04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Hf-179m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Hf-180m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Hf-181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Hf-173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Hf-182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9,00+06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Hf-182m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Hf-183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Hf-184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Ta-172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Ta-173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Ta-174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Ta-175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Ta-176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Ta-177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2,36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Ta-178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Ta-179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1,82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Ta-180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1,00+13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Ta-180m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Ta-182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Ta-182m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0,264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Ta-183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Ta-184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W-176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Ta-185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0,816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Ta-186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W-176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W-177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W-178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W-179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9,9-13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2,0+10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W-181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W-185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75,1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W-187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W-188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Re-177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Re-178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Re-181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Re-182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2,67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Re-182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Re-184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Re-184m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Re-186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3,78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Re-186m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2,00+05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Re-188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Re-188m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Re-189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Os-185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Os-180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0,366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Os-181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Os-182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Os-185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Os-189m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Os-191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Os-191m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Os-193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Os-194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Ir-182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Ir-184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Ir-185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Ir-182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Ir-186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Ir-186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Ir-187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Ir-188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Ir-189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Ir-190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Ir-190m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Ir-190m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Ir-192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Ir-192m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2,41+02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Ir-193m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Ir-194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Ir-194m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Pt-186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Ir-195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Ir-195m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Pt-186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Pt-188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Pt-189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Pt-191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Pt-193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Pt-193m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6,2+04</w:t>
            </w:r>
          </w:p>
        </w:tc>
      </w:tr>
      <w:tr>
        <w:trPr>
          <w:trHeight w:val="70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Pt-195m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4,02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Pt-197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Pt-197m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Pt-199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Pt-200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Au-193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Au-194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Au-195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Au-198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2,69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Au-198m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Au-199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Au-200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Au-200m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Hg-193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 (ор)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 (но)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(но)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Hg-193m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 (ор)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 (но)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(но)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Hg-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2,60+02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 (ор)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 (но)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(но)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Hg-195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 (ор)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 (но)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(но)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Hg-195m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 (ор)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 (но)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(но)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Hg-197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2,67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 (ор)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 (но)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(но)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(но)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3,9+07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Hg-197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2,67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 (ор)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Hg-203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 (ор)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 (но)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(но)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Tl-194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Tl-194m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0,546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Tl-195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Tl-197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2,84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Tl-198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Tl-198m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Tl-199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Tl-200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Tl-201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Tl-202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Tl-204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3,78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Pb-195m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Pb-198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Pb-199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Pb-200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Pb-201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Pb-202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3,00+05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Pb-202m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Pb-203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2,17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Pb-205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1,43+07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Pb-209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Pb-210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Pb-211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0,601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Pb-212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Pb-214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Bi-200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0,606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Bi-201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Bi-200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0,606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Bi-202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Bi-203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Bi-205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Bi-206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Bi-207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Bi-210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5,01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Bi-210m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3,00+06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Bi-212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Bi-213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0,761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Bi-214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Po-203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Po-205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Po-207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Po-210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At-207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At-211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7,21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Fr-222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Fr-223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3,66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3,66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1,60+03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5,75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Ac-224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Ac-225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Ac-226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1,21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Ac-227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5,4-04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3,7+01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2,1-04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3,8-02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Ac-228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Th-226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Th-227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Th-228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1,91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6,5+02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5,1+02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Th-229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7,34+03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8,1-02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Th-230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7,70+04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Th-231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Th-232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1,40+10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4,8+02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3,5-01</w:t>
            </w:r>
          </w:p>
        </w:tc>
      </w:tr>
      <w:tr>
        <w:trPr>
          <w:trHeight w:val="28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Th-234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Pa-230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Pa-228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Pa-230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Pa-231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3,27+04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1,3-04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6,2-02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6,3+02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Pa-232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Pa-233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Pa-234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5,6+04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1,58+05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2,44+05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7,04+08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2,7+04[]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1,1+01[3]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2,34+07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4,47+09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6,0+03[3]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2,4[3]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6,0+03[3]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2,4[3]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1,8+09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U-240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Np-232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Np-233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1,2+10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Np-234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Np-235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Np-236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1,15+05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Np-236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Np-237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2,14+06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9,5+02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Np-238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Np-239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2,36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Np-240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Pu-234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Pu-235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1,3+10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1,2+10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5,0+06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Pu-236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2,85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Pu-237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Pu-238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87,7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8,9+011)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3,7-021)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Pu-240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6,54+03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7,8+011)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3,2-021)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Pu-241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4,1+031)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1,71)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Pu-242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3,76+05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7,4+011)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3,1-021)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Pu-241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4,1+031)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1,71)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Pu-243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1,6+081)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6,8+041)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2,0+081)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8,5+041)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Pu-244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8,26+07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1,5+021)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6,3-021)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Pu-245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Pu-246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1,1+03</w:t>
            </w:r>
          </w:p>
        </w:tc>
      </w:tr>
      <w:tr>
        <w:trPr>
          <w:trHeight w:val="7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Am-237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Am-238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Am-239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Am-240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Am-241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4,32+02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5,1+02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Am-242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Am-242m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1,52+02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5,7+02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Am-243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7,38+03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5,1+02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Am-244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Am-244m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1,0+05</w:t>
            </w:r>
          </w:p>
        </w:tc>
      </w:tr>
      <w:tr>
        <w:trPr>
          <w:trHeight w:val="61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Am-245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Am-246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Am-246m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Cm-238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6,9+02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8,50+03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5,0+02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1,56+07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5,6+02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3,39+05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1,4-04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5,7-02</w:t>
            </w:r>
          </w:p>
        </w:tc>
      </w:tr>
      <w:tr>
        <w:trPr>
          <w:trHeight w:val="13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Сохранены значения ПГПперс и ДОАперс, приведенные в НРБ-76/87,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достигнутым уровнем безопасности на предприятиях Казахстана. Эти значения ниже,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 значения, полученные с использованием дозовых коэффициентов из 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приложения.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Cm-250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6,90+03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7,9-04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Bk-245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Bk-246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Bk-247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1,38+03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Cm-250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6,90+03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7,9-04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Am-246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Am-246m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8,7+08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Cm-238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Cm-250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6,90+03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7,9-04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Bk-245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Bk-246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1,83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Bk-247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1,38+03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3,1+02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Cm-250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6,90+03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7,9-04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Fm-253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5,4+04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Fm-254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Fm-255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Fm-257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Md-257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Md-258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Es-254m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4,5+04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Fm-252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Fm-253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5,4+04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Fm-254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Fm-255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Fm-257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Md-257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Cm-250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6,90+03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7,9-04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Bk-250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3,22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Cf-244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0,323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1,5+06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Cm-250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6,90+03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7,9-04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Cf-246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4,8+04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Cf-248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Cf-249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3,50+02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Cf-250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6,3+02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Cf-251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8,98+02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Cf-252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2,64 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Cf-253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1,7+04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Cf-254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3,7-05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5,4+02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Es-250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5,9-10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1,4+04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Es-251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 сут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2,0-09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1,0+07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4,0+03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Es-253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Es-254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Es-254m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4,5+04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Fm-252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6,7+04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Fm-253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5,4+04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Fm-254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Fm-255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2,5-07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8,0+04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3,2+01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Fm-257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Md-257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 час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2,3-08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8,7+05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3,5+02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Md-258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 сут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5,5-06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3,6+03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</w:tbl>
    <w:bookmarkStart w:name="z2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персонала на случай поступления радионуклидов с вдыхаемым воздухом приведены значения дозового коэффициента, допустимого годового поступления ПГП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>, допустимой среднегодовой объемной активности ДОА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 xml:space="preserve">. В настоящее приложение не входят инертные газы, поскольку они являются источниками внешнего облучения, а также изотопы радона с продуктами их распада. Природные радионуклиды </w:t>
      </w:r>
      <w:r>
        <w:rPr>
          <w:rFonts w:ascii="Times New Roman"/>
          <w:b w:val="false"/>
          <w:i w:val="false"/>
          <w:color w:val="000000"/>
          <w:vertAlign w:val="superscript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Rb, </w:t>
      </w:r>
      <w:r>
        <w:rPr>
          <w:rFonts w:ascii="Times New Roman"/>
          <w:b w:val="false"/>
          <w:i w:val="false"/>
          <w:color w:val="000000"/>
          <w:vertAlign w:val="superscript"/>
        </w:rPr>
        <w:t>115</w:t>
      </w:r>
      <w:r>
        <w:rPr>
          <w:rFonts w:ascii="Times New Roman"/>
          <w:b w:val="false"/>
          <w:i w:val="false"/>
          <w:color w:val="000000"/>
          <w:sz w:val="28"/>
        </w:rPr>
        <w:t xml:space="preserve">In, </w:t>
      </w:r>
      <w:r>
        <w:rPr>
          <w:rFonts w:ascii="Times New Roman"/>
          <w:b w:val="false"/>
          <w:i w:val="false"/>
          <w:color w:val="000000"/>
          <w:vertAlign w:val="superscript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Nd, </w:t>
      </w:r>
      <w:r>
        <w:rPr>
          <w:rFonts w:ascii="Times New Roman"/>
          <w:b w:val="false"/>
          <w:i w:val="false"/>
          <w:color w:val="000000"/>
          <w:vertAlign w:val="superscript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Sm и </w:t>
      </w:r>
      <w:r>
        <w:rPr>
          <w:rFonts w:ascii="Times New Roman"/>
          <w:b w:val="false"/>
          <w:i w:val="false"/>
          <w:color w:val="000000"/>
          <w:vertAlign w:val="superscript"/>
        </w:rPr>
        <w:t>187</w:t>
      </w:r>
      <w:r>
        <w:rPr>
          <w:rFonts w:ascii="Times New Roman"/>
          <w:b w:val="false"/>
          <w:i w:val="false"/>
          <w:color w:val="000000"/>
          <w:sz w:val="28"/>
        </w:rPr>
        <w:t>Re не включены в таблицу, поскольку они нормируются по их химической токсичности. Из-за химической токсичности урана поступление через органы дыхания его соединений типов Б или П не должно превышать 2,5 мг в сутки и 500 мг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химическая форма соединения данного радионуклида неизвестна, то следует использовать данные из настоящего приложения для соединения с наибольшим значением величины дозового коэффициента и, соответственно, наименьшими значениями ПГП</w:t>
      </w:r>
      <w:r>
        <w:rPr>
          <w:rFonts w:ascii="Times New Roman"/>
          <w:b w:val="false"/>
          <w:i w:val="false"/>
          <w:color w:val="000000"/>
          <w:vertAlign w:val="subscript"/>
        </w:rPr>
        <w:t>перс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ДОА</w:t>
      </w:r>
      <w:r>
        <w:rPr>
          <w:rFonts w:ascii="Times New Roman"/>
          <w:b w:val="false"/>
          <w:i w:val="false"/>
          <w:color w:val="000000"/>
          <w:vertAlign w:val="subscript"/>
        </w:rPr>
        <w:t>пер</w:t>
      </w:r>
    </w:p>
    <w:bookmarkEnd w:id="91"/>
    <w:bookmarkStart w:name="z2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гигиеническим нормативам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"Санитарно-эпидемиологические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обеспечению радиационной безопасности"</w:t>
      </w:r>
    </w:p>
    <w:bookmarkEnd w:id="92"/>
    <w:bookmarkStart w:name="z22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Поступление радионуклидов через органы дыхания и среднегодовая</w:t>
      </w:r>
      <w:r>
        <w:br/>
      </w:r>
      <w:r>
        <w:rPr>
          <w:rFonts w:ascii="Times New Roman"/>
          <w:b/>
          <w:i w:val="false"/>
          <w:color w:val="000000"/>
        </w:rPr>
        <w:t>
объемная активность их во вдыхаемом воздухе</w:t>
      </w:r>
    </w:p>
    <w:bookmarkEnd w:id="93"/>
    <w:bookmarkStart w:name="z2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скорости перехода радионуклида из легких в кровь, поступающие через органы дыхания в виде радиоактивных аэрозолей радионуклиды и их химические соединения разделены на типы: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тип "М" (медленно растворимые соединения): при растворении в легких веществ, отнесенных к этому типу, наблюдается компонента активности радионуклида, поступающая в кровь со скоростью 0,0001 сут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тип "П" (соединения, растворимые с промежуточной скоростью): при растворении в легких веществ, отнесенных к этому типу, основная активность радионуклида поступает в кровь со скоростью 0,005 сут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тип "Б" (быстро растворимые соединения): при растворении в легких веществ, отнесенных к этому типу, основная активность радионуклида поступает в кровь со скоростью 100 сут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Поступающие радионуклиды в форме радиоактивных газов выделены в виде типа "Г" (Г1-Г3 - газы и пары соединений некоторых элементов). </w:t>
      </w:r>
    </w:p>
    <w:bookmarkEnd w:id="94"/>
    <w:bookmarkStart w:name="z23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Распределение соединений элементов по типам при ингаляции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7"/>
        <w:gridCol w:w="1247"/>
        <w:gridCol w:w="1107"/>
        <w:gridCol w:w="6747"/>
      </w:tblGrid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Сим-вол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Тритий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 тритированной воды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Газообразный тритий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Тритированный металл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Бериллий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галогениды, нитраты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Элементарный углерод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углерода (CO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 углерода (CO)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 с лантаноидами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 с H, Li, Na, K, Rb, Cs, Fr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гидроксиды, карбиды, галогениды,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гидроксиды, карбиды, галогениды,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нитраты, металл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Алюмосиликаты (стекло)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гидроксиды, карбиды, нитраты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Фосфаты Zn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Sn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Mg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Fe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Bi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лантаноидов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 в элементарной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сульфиды Sr, Ba, Ge, Sn, Pb, As, Sb, Bi,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Ag, Cu, Au, Zn, Cd, Hg, Mo, 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 Ca, Sr, Ba, Ra, As, Sb, Bi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Сульфид углерода (CS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 (SO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 с H, Li, Na, K, Rb, Cs, Fr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Скандий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Титан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SrTiO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гидроксиды, карбиды, галогениды,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Ванадий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гидроксиды, карбиды, галогениды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Галогениды, нитраты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гидроксиды, галогениды, нитраты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гидроксиды, галогениды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гидроксиды, галогениды, нитраты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гидроксиды, карбиды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Газообразный Ni(CO)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Сульфиды, галогениды, нитраты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неорганические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гидроксиды, карбиды, галогениды,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сульфиды, галогениды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 в элементарной форме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неорганические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 с H, Li, Na, K, Rb, Cs, Fr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Рубидий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Стронций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SrTiO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Иттрий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Цирконий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Zr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Карбид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гидроксиды, галогениды, нитраты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Ниобий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Nb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Молибден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гидроксиды, MoS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Технеций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гидроксиды, галогениды, нитраты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Рутений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гидроксиды, металл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Галогениды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Тетраоксид рутения RuO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Галогениды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Палладий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Галогениды, нитраты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Серебро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Нитраты, сульфиды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Сульфиды, галогениды, нитраты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гидроксиды, галогениды, нитраты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Олово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гидроксиды, сульфиды, галогениды,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нитраты, фосфат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Сурьма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гидроксиды, галогениды, сульфиды,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сульфаты, нитраты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Теллур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гидроксиды, нитраты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 теллура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Иод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Элементарный иод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Метилиод CH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Цезий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Лантан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гидроксиды, фториды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Празеодим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гидроксиды, карбиды, ториды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Неодим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гидроксиды, карбиды, фториды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Прометий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гидроксиды, карбиды, фториды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Гадолиний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Gd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Труднорастворимые соединения, оксиды,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гидроксиды, фториды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Тербий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Диспозий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Dy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Гольмий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Эрбий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Tm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Иттербий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Yb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гидроксиды, фториды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Лютеций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гидроксиды, фториды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Гафний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гидроксиды, карбиды, галогениды, нитраты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Тантал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Элементарный тантал, оксиды, гидроксиды,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галогениды, карбиды, нитраты, нитриды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Вольфрам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гидроксиды, галогениды, нитраты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Галогениды, нитраты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Ирридий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Галогениды, нитраты, элементарный ирридий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Платина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Галогениды, нитраты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Ртуть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Hg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(но)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гидроксиды, галогениды, нитраты, сульфиды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 (но)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 (ор)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органические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 ртути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Таллий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Висмут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Полоний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гидроксиды, нитраты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Астат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 с H, Li, Na, K, Rb, Cs, Fr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Актиний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Галогениды, нитраты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Протактиний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UF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UCl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Нептуний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Плутоний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 кроме хелатов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Америций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Кюрий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Берклий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Bk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Калифорний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Оксиды, гидроксиды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Эйнштейний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соединения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Фермий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Fm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соединения</w:t>
            </w:r>
          </w:p>
        </w:tc>
      </w:tr>
    </w:tbl>
    <w:bookmarkStart w:name="z2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гигиеническим нормативам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"Санитарно-эпидемиологические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обеспечению радиационной безопасности"</w:t>
      </w:r>
    </w:p>
    <w:bookmarkEnd w:id="96"/>
    <w:bookmarkStart w:name="z23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Значения дозовых коэффициентов, пределов годового поступления с</w:t>
      </w:r>
      <w:r>
        <w:br/>
      </w:r>
      <w:r>
        <w:rPr>
          <w:rFonts w:ascii="Times New Roman"/>
          <w:b/>
          <w:i w:val="false"/>
          <w:color w:val="000000"/>
        </w:rPr>
        <w:t>
воздухом и пищей и допустимой объемной активности во вдыхаемом</w:t>
      </w:r>
      <w:r>
        <w:br/>
      </w:r>
      <w:r>
        <w:rPr>
          <w:rFonts w:ascii="Times New Roman"/>
          <w:b/>
          <w:i w:val="false"/>
          <w:color w:val="000000"/>
        </w:rPr>
        <w:t>
воздухе отдельных радионуклидов для критических групп</w:t>
      </w:r>
      <w:r>
        <w:br/>
      </w:r>
      <w:r>
        <w:rPr>
          <w:rFonts w:ascii="Times New Roman"/>
          <w:b/>
          <w:i w:val="false"/>
          <w:color w:val="000000"/>
        </w:rPr>
        <w:t>
населения</w:t>
      </w:r>
      <w:r>
        <w:rPr>
          <w:rFonts w:ascii="Times New Roman"/>
          <w:b/>
          <w:i w:val="false"/>
          <w:color w:val="000000"/>
          <w:vertAlign w:val="superscript"/>
        </w:rPr>
        <w:t>[4]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1131"/>
        <w:gridCol w:w="595"/>
        <w:gridCol w:w="488"/>
        <w:gridCol w:w="1566"/>
        <w:gridCol w:w="1544"/>
        <w:gridCol w:w="1135"/>
        <w:gridCol w:w="531"/>
        <w:gridCol w:w="1156"/>
        <w:gridCol w:w="1518"/>
        <w:gridCol w:w="1991"/>
      </w:tblGrid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нуклид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распада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с воздухом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с пищей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[5]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ления,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активность,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[5]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поступления,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Т1/2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21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Зв/Бк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 в год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Бк/м3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Зв/Бк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H-3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[6]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4,8-11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[7]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Be-7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9,6-11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Be-10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1,60+6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5,73+3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Na-22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Na-24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Al-26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7,16+5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Si-32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4,50+2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P-32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P-33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S-35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]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Cl-36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3,01+5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K-40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1,28+9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Ca-41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1,40+5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Ca-45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Ca-47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Sc-44m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Sc-46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Sc-47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Sc-48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Ti-44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V-48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V-49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Cr-51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3,70+6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Fe-60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1,00+5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8,8-1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Co-56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Co-57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Co-58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Co-60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Ni-56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Ni-57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Ni-59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7,50+4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Ni-63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Ni-66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Ga-67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Ge-68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Ge-69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Ge-71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8,6-11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6,1+3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7,8-11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As-71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As-72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As-73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As-74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As-76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As-77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Se-75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Se-79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6,50+4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Br-77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Br-82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Rb-83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Rb-84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Rb-86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Sr-82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Sr-83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Sr-85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Sr-89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Sr-90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Y-87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Y-88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Y-90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Y-91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Zr-88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Zr-89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Zr-93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1,53+6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Zr-95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Nb-93m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Nb-94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2,03+4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Nb-95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Nb-95m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Mo-93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3,50+3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Mo-99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Tc-95m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Tc-96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2,60+6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Tc-97m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Tc-98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4,20+6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Tc-99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2,13+5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Ru-97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Ru-103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Ru-106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Rh-99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Rh-101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Rh-101m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Rh-102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Rh-102m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Rh-105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Pd-100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Pd-103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Pd-107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6,50+6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Ag-105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Ag-106m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Ag-108m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1,27+2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Ag-110m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Ag-111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Cd-109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Cd-113m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Cd-115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Cd-115m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In-111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In-114m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Sn-113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Sn-117m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Sn-119m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Sn-121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Sn-121m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Sn-123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Sn-125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9,64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Sn-126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1,00+5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Sb-119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Sb-120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5,76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2,77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Sb-126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Sb-127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3,85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Te-121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Te-121m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Te-123m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Te-125m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Te-127m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Te-129m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Te-131m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Te-132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I-126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I-129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1,57+7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I-131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8,04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Cs-129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1,34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9,69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6,48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2,06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2,30+6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Ba-128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2,43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Ba-131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Ba-133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Ba-133m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Ba-135m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Ba-140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La-137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6,00+4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La-140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Ce-134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Ce-137m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Ce-139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Ce-141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Ce-143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Ce-144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Pr-143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Nd-147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Pm-143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Pm-144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Pm-145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Pm-146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Pm-147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2,62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Pm-148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5,37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Pm-148m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41,3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Pm-149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2,21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Pm-151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Sm-145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Sm-146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1,03+8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Sm-151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Sm-153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1,95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Eu-145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5,94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Eu-146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4,61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Eu-147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Eu-148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Eu-149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8,80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4,96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Gd-146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Gd-147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Gd-148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4,7-3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Gd-149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Gd-151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Gd-153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Tb-153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2,34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Tb-155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5,32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Tb-156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5,34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Tb-156m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Tb-157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1,50+2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Tb-158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1,50+2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Tb-160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72,3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Tb-161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6,91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Dy-159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Dy-166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Ho-166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Ho-166m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1,20+3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Er-169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Er-172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Tm-167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9,24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Tm-170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Tm-171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Tm-172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2,65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Yb-166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2,36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Yb-169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Yb-175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4,19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Lu-169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1,42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Lu-170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Lu-171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8,22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Lu-172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Lu-173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Lu-174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3,31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Lu-174m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Lu-177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6,71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Lu-177m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Hf-172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1,87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Hf-175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Hf-178m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4,7-1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Hf-179m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25,1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Hf-181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Hf-182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9,00+6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Ta-177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2,36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Ta-179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1,82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Ta-182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Ta-183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W-178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W-181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W-185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75,1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W-188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Re-182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2,67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Re-184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Re-184m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Re-186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3,78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Re-186m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2,00+5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Re-189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Os-185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Os-191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Os-193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Os-194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Ir-188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1,73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Ir-189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Ir-190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Ir-192m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2,41+2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Ir-193m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Ir-194m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Pt-188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Pt-191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Pt-193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Pt-193m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4,33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Pt-195m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4,02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Au-194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Au-195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Au-198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2,69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Au-198m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Au-199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Hg-194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2,60+2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[11]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[12]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Hg-195m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1,73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[11]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[12]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Hg-197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2,67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[11]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[12]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Hg-203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[11]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[12]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Tl-200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Tl-201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3,04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Tl-202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Tl-204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3,78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Pb-202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3,00+5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Pb-203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2,17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Pb-205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1,43+7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Pb-210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Bi-205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Bi-206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6,24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Bi-207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Bi-210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5,01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Bi-210m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3,00+6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3,3-2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Po-210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8,8-6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9,4-6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3,66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7,9-6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1,60+3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6,7+2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5,75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5,3-6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Ac-225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Ac-226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1,21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8,6-2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Ac-227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5,5-4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Th-227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Th-228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1,91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Th-229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7,34+3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Th-230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7,70+4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8,8-3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Th-231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Th-232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1,40+10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4,9-3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Th-234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24,1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Pa-230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9,6-7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Pa-231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3,27+4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8,8-4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Pa-232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Pa-233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8,1-3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1,58+5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4,3-6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2,44+5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4,2-6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3,3-2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7,04+8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2,34+7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3,9-6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4,47+9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Np-234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Np-235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Np-236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1,15+5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3,9-2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Np-237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2,14+6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5,4-3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Np-238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Np-239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2,36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Pu-236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2,85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5,0+1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6,2-3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Pu-237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45,3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4,3-10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6,9-10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Pu-238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87,7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Pu-239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2,41+4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Pu-240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6,54+3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Pu-241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9,0-7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Pu-242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3,76+5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Pu-244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8,26+7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Pu-246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Am-240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Am-241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4,32+2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Am-242m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1,52+2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3,3-3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Am-243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7,38+3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3,8-6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2,3+4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6,4-6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1,6+2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3,2+1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3,7+1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4,6-3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8,50+3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4,73+3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2,4+1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1,56+7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3,39+5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8,2-4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7,1+2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6,90+3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8,4-4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8,2-6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Bk-245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4,94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Bk-246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1,83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3,1+2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Bk-247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1,38+3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Bk-249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7,7-1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Cf-246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5,7-7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Cf-248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Cf-249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3,50+2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8,98+2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2,64 лет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1,8+1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5,6-3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5,9+2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8,1-2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Es-251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3,8+5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5,3+1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Es-253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2,9+2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Es-254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1,0+2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Es-254m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5,9-7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1,7+3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3,3+4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Fm-253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2,0+3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6,7-9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1,5+5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Fm-257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8,8-6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9,1+3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Md-258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 сут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7,3-6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1,4+2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8,9-8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1,1+4</w:t>
            </w:r>
          </w:p>
        </w:tc>
      </w:tr>
    </w:tbl>
    <w:bookmarkStart w:name="z23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 [4]</w:t>
      </w:r>
      <w:r>
        <w:rPr>
          <w:rFonts w:ascii="Times New Roman"/>
          <w:b w:val="false"/>
          <w:i w:val="false"/>
          <w:color w:val="000000"/>
          <w:sz w:val="28"/>
        </w:rPr>
        <w:t>За исключением случаев, отмеченных особо, регламентированные значения относятся ко всем возможным соединениям радионуклидов, поступающим в организм с воздухом, пищей и водой.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[5]</w:t>
      </w:r>
      <w:r>
        <w:rPr>
          <w:rFonts w:ascii="Times New Roman"/>
          <w:b w:val="false"/>
          <w:i w:val="false"/>
          <w:color w:val="000000"/>
          <w:sz w:val="28"/>
        </w:rPr>
        <w:t>Обозначение критических групп: #1 - новорожденные дети до 1 года; #2 - дети в возрасте 1-2 года; #3 - дети в возрасте 2-7 лет; #4 - дети в возрасте 7-12 лет; #5 - дети в возрасте 12-17 лет; #6 - взрослые (старше 17лет).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[6]</w:t>
      </w:r>
      <w:r>
        <w:rPr>
          <w:rFonts w:ascii="Times New Roman"/>
          <w:b w:val="false"/>
          <w:i w:val="false"/>
          <w:color w:val="000000"/>
          <w:sz w:val="28"/>
        </w:rPr>
        <w:t>Неорганические соединения трития.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[7]</w:t>
      </w:r>
      <w:r>
        <w:rPr>
          <w:rFonts w:ascii="Times New Roman"/>
          <w:b w:val="false"/>
          <w:i w:val="false"/>
          <w:color w:val="000000"/>
          <w:sz w:val="28"/>
        </w:rPr>
        <w:t>Органические соединения трития.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[8]</w:t>
      </w:r>
      <w:r>
        <w:rPr>
          <w:rFonts w:ascii="Times New Roman"/>
          <w:b w:val="false"/>
          <w:i w:val="false"/>
          <w:color w:val="000000"/>
          <w:sz w:val="28"/>
        </w:rPr>
        <w:t>Неорганические соединения серы.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[9]</w:t>
      </w:r>
      <w:r>
        <w:rPr>
          <w:rFonts w:ascii="Times New Roman"/>
          <w:b w:val="false"/>
          <w:i w:val="false"/>
          <w:color w:val="000000"/>
          <w:sz w:val="28"/>
        </w:rPr>
        <w:t>Органические соединения серы.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[10]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поступлении изотопа </w:t>
      </w:r>
      <w:r>
        <w:rPr>
          <w:rFonts w:ascii="Times New Roman"/>
          <w:b w:val="false"/>
          <w:i w:val="false"/>
          <w:color w:val="000000"/>
          <w:vertAlign w:val="superscript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K дополнительно к природной смеси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изотопов калия.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[11]</w:t>
      </w:r>
      <w:r>
        <w:rPr>
          <w:rFonts w:ascii="Times New Roman"/>
          <w:b w:val="false"/>
          <w:i w:val="false"/>
          <w:color w:val="000000"/>
          <w:sz w:val="28"/>
        </w:rPr>
        <w:t>Органические соединения ртути.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[12]</w:t>
      </w:r>
      <w:r>
        <w:rPr>
          <w:rFonts w:ascii="Times New Roman"/>
          <w:b w:val="false"/>
          <w:i w:val="false"/>
          <w:color w:val="000000"/>
          <w:sz w:val="28"/>
        </w:rPr>
        <w:t>Неорганические соединения ртути.</w:t>
      </w:r>
    </w:p>
    <w:bookmarkEnd w:id="98"/>
    <w:bookmarkStart w:name="z24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гигиеническим нормативам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"Санитарно-эпидемиологические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обеспечению радиационной безопасности"</w:t>
      </w:r>
    </w:p>
    <w:bookmarkEnd w:id="99"/>
    <w:bookmarkStart w:name="z24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Значения дозовых коэффициентов </w:t>
      </w:r>
      <w:r>
        <w:drawing>
          <wp:inline distT="0" distB="0" distL="0" distR="0">
            <wp:extent cx="3175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(мЗв/Бк) при поступлении</w:t>
      </w:r>
      <w:r>
        <w:br/>
      </w:r>
      <w:r>
        <w:rPr>
          <w:rFonts w:ascii="Times New Roman"/>
          <w:b/>
          <w:i w:val="false"/>
          <w:color w:val="000000"/>
        </w:rPr>
        <w:t>
радионуклидов в организм взрослых людей с водой и уровни</w:t>
      </w:r>
      <w:r>
        <w:br/>
      </w:r>
      <w:r>
        <w:rPr>
          <w:rFonts w:ascii="Times New Roman"/>
          <w:b/>
          <w:i w:val="false"/>
          <w:color w:val="000000"/>
        </w:rPr>
        <w:t>
вмешательства УВ (Бк/кг) по содержанию отдельных радионуклидов</w:t>
      </w:r>
      <w:r>
        <w:br/>
      </w:r>
      <w:r>
        <w:rPr>
          <w:rFonts w:ascii="Times New Roman"/>
          <w:b/>
          <w:i w:val="false"/>
          <w:color w:val="000000"/>
        </w:rPr>
        <w:t>
в питьевой воде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1609"/>
        <w:gridCol w:w="1631"/>
        <w:gridCol w:w="2040"/>
        <w:gridCol w:w="2321"/>
        <w:gridCol w:w="2300"/>
      </w:tblGrid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Нуклид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мЗв/Бк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Бк/кг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Нуклид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мЗв/Бк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Бк/кг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H-3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Tc-97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6,8-8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Be-7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Tc-97m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5,5-7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Tc-99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6,4-7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Na-22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Ru-97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P-32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Ru-103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7,3-7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P-33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Ru-106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7,0-6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S-35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Rh-105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Cl-36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Pd-103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Ca-45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Ag-105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4,7-7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Ca-47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Ag-110m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Sc-46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Ag-111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Sc-47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Cd-109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Sc-48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Cd-115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V-48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Cd-115m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3,3-6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Cr-51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3,8-8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In-111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Mn-51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9,3-8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In-114m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4,1-6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Mn-52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Sn-113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7,3-7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Mn-53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Sn-125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Mn-54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Sb-122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Fe-55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Sb-124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Fe-59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Sb-125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Co-56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Te-123m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Co-57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Te-127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Co-58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Te-127m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Co-60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Te-129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6,3-8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Ni-59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6,3-8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Te-129m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Ni-63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Te-131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8,7-8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Zn-65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Te-131m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Ge-71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Te-132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3,8-6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As-73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I-123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As-74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I-125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As-76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I-126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2,9-5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As-77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I-129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Se-75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I-130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Br-82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I-131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2,2-5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Rb-86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Cs-129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6,0-8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Sr-85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5,8-8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Sr-89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5,0-7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Sr-90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Y-90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Y-91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Cs-136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Zr-93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Cs-137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Zr-95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Cs-138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9,2-8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Nb-93m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Ba-131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Nb-94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Ba-140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Nb-95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La-140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2,0-6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Mo-93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Ce-139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Mo-99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Ce-141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Tc-96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Ce-143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Ce-144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Th-231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Pr-143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Th-232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Nd-147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Th-234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Pm-147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5,6-5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Pm-149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Sm-151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9,8-8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3,3-4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Sm-153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Eu-152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4,9-5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Eu-154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4,7-5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Eu-155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U-236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4,7-5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Gd-153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U-237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7,6-7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Tb-160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U-238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Er-169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Pa-230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9,2-7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Tm-171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Pa-231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7,1-4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Yb-175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Pa-233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8,7-7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Ta-182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Np-237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1,1-4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W-181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7,6-8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Np-239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8,0-7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W-185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Pu-236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8,7-5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Re-186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Pu-237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Os-185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Pu-238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Os-191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Pu-239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Os-193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Pu-240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Ir-190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Pu-241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4,8-6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Ir-192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Pu-242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Pt-191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Pu-244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Pt-193m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Am-241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Au-198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Am-242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3,0-7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Au-199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Am-242m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Hg-197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Am-243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Hg-203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Tl-200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Tl-201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9,5-8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Tl-202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Tl-204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Cm-246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Pb-203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Cm-247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Pb-210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6,9-4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Cm-248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7,7-4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Bi-206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Bk-249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5,7-7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Bi-207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Cf-246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3,3-6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Bi-210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Cf-248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Po-210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1,2-3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Cf-249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1,0-4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Cf-250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6,5-5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Cf-251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3,6-4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9,9-5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Cf-252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9,0-5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Ra-226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Cf-253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1,4-6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6,9-4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Cf-254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4,0-4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Th-227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8,8-6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Es-253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6,1-6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Th-228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7,2-5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Es-254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2,8-5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Th-229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4,9-4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Es-254m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4,2-6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5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Th-230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2,1-4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Перечисленные ниже материнские радионуклиды приведены в условиях их равновесия с дочерними: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9673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Sr-90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Y-90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Zr-93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Nb-93m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Zr-97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Nb-97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Ru-106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Rh-106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Cs-137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Ba-137m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Ba-140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La-140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Ce-134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La-134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Ce-144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Pr-144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Pb-210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Bi-210, Po-210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Pb-212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Bi-212, Tl-208 (0.36), Po-212 (0.64)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Bi-212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Tl-208 (0.36), Po-212 (0.64)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Rn-220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Po-216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Rn-222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Po-218, Pb-214, Bi-214, Po-214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Rn-219, Po-215, Pb-211, Bi-211, Tl-207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Rn-220, Po-216, Pb-212, Bi-212, Tl-208(0.36), Po-212(0.64)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Rn-222, Po-218, Pb-214, Bi-214, Po-214, Pb-210, Bi-210,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Po-210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Ac-228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Th-226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Ra-222, Rn-218, Po-214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Th-228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Ra-224, Rn-220, Po-216, Pb-212, Bi-212, Tl-208 (0.36),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Po-212 (0.64)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Th-229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Ra-225, Ac-225, Fr-221, At-217, Bi-213, Po-213, Pb-209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Th-232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Ra-228, Ac-228, Th-228, Ra-224, Rn-220, Po-216, Pb-212,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Bi-212, Tl-208 (0.36), Po-212 (0.64)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Th-природный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Ra-228, Ac-228, Th-228, Ra-224, Rn-220, Po-216, Pb-212,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Bi-212, Tl-208 (0.36), Po-212 (0.64)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Th-234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Pa-234m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Th-226, Ra-222, Rn-218, Po-214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Th-228, Ra-224, Rn-220, Po-216, Pb-212, Bi-212, Tl-208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(0.36), Po-212 (0.64) 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Th-231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Th-234, Pa-234m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U-природный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Th-234, Pa-234m, U-234, Th-230, Ra-226, Rn-222, Po-218,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Pb-214, Bi-214, Po-214, Pb-210, Bi-210, Po-210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U-240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Np-240m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Np-237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Pa-233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Am-242m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Am-242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Am-243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Np-239</w:t>
            </w:r>
          </w:p>
        </w:tc>
      </w:tr>
    </w:tbl>
    <w:bookmarkStart w:name="z24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уровнях активности радионуклидов, меньше приведенных в таблице и условии применения МЗУА и МЗА одновременно, эффективная индивидуальная годовая доза облучения лиц из персонала и населения не превысит 10 мкЗв и в аварийных случаях 1 мЗв, а коллективная эффективная доза 1 чел.-Зв при любых условиях использования. Эквивалентная доза на кожу не превысит 50 мЗв/год.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Природные радионуклиды оценивались при их попадании в потребительские товары из техногенных источников (например, Ra-226, Po-210) или по их химической токсичности (для тория, урана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присутствует несколько нуклидов, то сумма отношений активности к их табличным значениям не должна превышать единицу. Приведенные в таблице радионуклиды в зависимости от минимально значимой суммарной активности (МЗА) делятся на 4 группы радиационной 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 - 1x10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Бк;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 - 1x10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1x10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Бк;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- 1x10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1x10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 - 1x10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1x10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Бк, а также Kr-83m, Kr-85m и Xe-1</w:t>
      </w:r>
    </w:p>
    <w:bookmarkEnd w:id="102"/>
    <w:bookmarkStart w:name="z25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гигиеническим нормативам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"Санитарно-эпидемиологические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обеспечению радиационной безопасности"</w:t>
      </w:r>
    </w:p>
    <w:bookmarkEnd w:id="103"/>
    <w:bookmarkStart w:name="z25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Допустимые уровни радионуклидов цезия-137 и стронция-90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6378"/>
        <w:gridCol w:w="2302"/>
        <w:gridCol w:w="1888"/>
      </w:tblGrid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продуктов питания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цезия-137,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Бк/кг(л)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стронция-90,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Бк/кг(л)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Мясо, мясные продукты и субпродукты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Оленина, мясо диких животных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Птица, в том числе полуфабрикаты,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свежие, охлажденные, замороженные (все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убойной, промысловой и дикой птицы)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Субпродукты птицы охлажденные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замороженные. В том числе: колбасные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изделия, копчености, кулинарные 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мяса птицы;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из мяса птицы и мясо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из птицы сублимационной сушки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и рыбные продукты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морских млекопитающих, рыба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маринованная, рыбная продукции, икра,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молоки, аналоги икры, печень рыб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Консервы, пресервы рыбные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сушеная и вяленая копченая,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соленая, рыбная кулинария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Моллюски,ракообразные, земноводные,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водоросли и травы морские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и продукты их переработки Яичный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порошок (в пересчете на исходный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с учетом содержания 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в нем и конечном продукте)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Молоко-сырье, сливки -сырье, молоко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пастеризованное, стерилизованное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топленое, сметана, кисломолочные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напитки,йогурт, втом числе творог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творожные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8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сгущенное и концентрированное,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 молочные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молочные сухие: молоко,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сливки,смеси для мороженого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 (твердые, плавленые, мягкие,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рассольные, брынза)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корнеплоды свежие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свежезамороженные, зелень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бахчевые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фрукты, ягоды, виноград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ягоды дикорастущие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Сухие овощи: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бахчевые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фрукты, ягоды, виноград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дикорастущие ягоды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 продовольственное,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пшеница, рожь, трикале, овес, ячмень,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просо, гречиха, рис, кукуруза, сорго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зернобобовых, горох, фасоль, маш,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чипа, чечевица, нут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Сахаристые кондитерские изделия: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карамель, глазурь. и неглазурь. конфеты,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помадные, ирис, халва, пастила, зефир,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мармелад и т.д.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 и изделия из него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Какао-бобы и какао продукты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Специи и пряности столовые (сухие)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масленичных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(подсолнечника, сои, хлопчатника,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кукурузы, льна, горчицы, рапса, арахиса)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растительное (все виды) 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растительных масел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жиров (Маргарин, кулинарный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кондитерские жиры, майонезы)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 сырец говяжий, свиной, бараний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Шпик свиной охлажденный, замороженный,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соленый, конченый и т.д.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Жиры животные топленые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коровье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Жировые продукты на основе сочетания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животных(включая молочный жир)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растительных жиров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Рыбий жир в качестве 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профилактического средства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Напитки безалкогольные (сокосодержащие,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искусственно-минерализованные,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изготавливаемые из концентратов)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Напитки брожения (изготавливаемые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концентратов)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вино, водка и другие спиртные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и хлебобулочные изделия бараночки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сухарные изделия хлебные палочки, мучные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кондитерские изделия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Мука, крупы, толокно, хлопья, пищевые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злаки, макаронные изделия,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Желатин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Крахмал, патока и продукты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Дрожжи пищевые, биомасса одноклеточных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растений, бактериологические препараты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дрожжи сухие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Бульоны сухие пищевые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Ксилит, сорбит, маннит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сахароспирты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 поваренная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лечебно-профилактическая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Концентраты пищевые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компоненту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БАД-источники преимущественно 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волокон(пектины, отруби, растительная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клетчатка, микрокристаллическая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целлюлоза)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 на растительной основе: сухие,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продукты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в готовом для употребления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(1)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для питания детей раннего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Продукты прикорма на зерновой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0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прикорма на плодоовощной основе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прикорма на мясной основе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прикорма на рыбной основе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bookmarkStart w:name="z25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(1) – для сублимированных продуктов удельная активность определяется в восстановленном продукте.</w:t>
      </w:r>
    </w:p>
    <w:bookmarkEnd w:id="105"/>
    <w:bookmarkStart w:name="z25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гигиеническим нормативам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"Санитарно-эпидемиологические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обеспечению радиационной безопасности"</w:t>
      </w:r>
    </w:p>
    <w:bookmarkEnd w:id="106"/>
    <w:bookmarkStart w:name="z25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Радионуклиды с учетом сложившейся радиационной обстановки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7"/>
        <w:gridCol w:w="1954"/>
        <w:gridCol w:w="1613"/>
        <w:gridCol w:w="2660"/>
      </w:tblGrid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Нуклид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МЗУА, Бк/г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МЗА, Бк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D-величина, Бк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H-3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1,00E+09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2,00E+15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Be-7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C-14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5,00E+13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1,00E+09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F-18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Na-22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Na-24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Si-31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1,00E+13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P-32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1,00E+13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P-33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1,00E+08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2,00E+14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S-35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1,00E+08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6,00E+13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Cl-36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2,00E+13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Cl-38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Ar-37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1,00E+08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Ar-41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1,00E+09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K-40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K-42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K-43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Ca-45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1,00E+14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Ca-47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Sc-46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Sc-47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Sc-48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V-48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Cr-51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Mn-51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Mn-52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Mn-52m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Mn-53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1,00E+09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Mn-54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Mn-56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Fe-52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Fe-55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8,00E+14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Fe-59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Co-55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Co-56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Co-57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Co-58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Co-58m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Co-60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Co-60m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Co-61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Co-62m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Ni-59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1,00E+08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1,00E+15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Ni-63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1,00E+08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6,00E+13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Ni-65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Cu-64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Zn-65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Zn-69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3,00E+13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Zn-69m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Ga-72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Ge-71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1 E+04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1 E+08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1,00E+15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As-73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4,00E+13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As-74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As-76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As-77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Se-75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Br-82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Kr-74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1,00E+09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Kr-76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1,00E+09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Kr-77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1,00E+09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Kr-79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Kr-81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3,00E+13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Kr-83m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1,00E+12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Kr-85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3,00E+13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Kr-85m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Kr-87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1,00E+09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Kr-88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1,00E+09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Rb-86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Sr-85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Sr-85m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Sr-87m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Sr-89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2,00E+13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Sr-90*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Sr-91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Sr-92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Y-90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Y-91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Y-91m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Y-92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Y-93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Zr-93*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Zr-95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Zr-97*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Nb-93m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3,00E+14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Nb-94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Nb-95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Nb-97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Nb-98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Mo-90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Mo-93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1,00E+08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3,00E+14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Mo-99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Mo-101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Tc-96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Tc-96m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Tc-97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1,00E+08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Tc-97m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4,00E+13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Tc-99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3,00E+13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Tc-99m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Ru-97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Ru-103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Ru-105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Ru-106*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Rh-103m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1,00E+08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9,00E+14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Rh-105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Pd-103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1,00E+08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9,00E+13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Pd-109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2,00E+13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Ag-105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Ag-110m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Ag-111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Cd-109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2,00E+13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Cd-115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Cd-115m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In-111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In-113m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In-114m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In-115m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Sn-113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Sn-125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Sb-122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Sb-124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Sb-125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Te-123m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Te-125m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1,00E+13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Te-127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1,00E+13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Te-127m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Te-129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Te-129m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Te-131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Te-131m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Te-132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Te-133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Te-133m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Te-134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I-123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I-125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I-126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I-129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I-131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I-132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I-133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I-134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I-135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Xe131m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1 E+04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1,00E+13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Xe-133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Xe-135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Cs-129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2,00E+13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Cs-134m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Cs-137*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Cs-138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Ba-131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Ba-133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Ba-140*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La-140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Ce-139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Ce-141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Ce-143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Ce-144*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Pr-142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Pr-143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3,00E+13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Nd-147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Nd-149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Pm-147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4,00E+13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Pm-149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Sm-151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1,00E+08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5,00E+14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Sm-153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Eu-152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Eu-152m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Eu-154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Eu-155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Gd-153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Gd-159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Tb-160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Dy-165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Dy-166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Ho-166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Er-169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2,00E+14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Er-171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Tm-170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2,00E+13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Tm-171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1,00E+08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3,00E+14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Yb-175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Lu-177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Hf-181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Ta-182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W-181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W-185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1,00E+14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W-187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Re-186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Re-188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Os-185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Os-191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Os-191m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Os-193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Ir-190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Ir-192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Ir-194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Pt-191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Pt-193m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1,00E+13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Pt-197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Pt-197m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Au-198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Au-199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Hg-197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Hg197m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Hg-203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Tl-200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Tl-201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Tl-202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Tl-204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2,00E+13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Pb-203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Pb-210*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Pb-212*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Bi-206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Bi-207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Bi-210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Bi-212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Po-203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Po-205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Po-207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Po-210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At-211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Rn-220*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Rn-222*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1,00E+08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Ra-223*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Ra-224*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Ra-226*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Ra-228*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Ac-228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Th-226*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Th-227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Th-228*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Th-229*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7,00E+08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Th-231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1,00E+13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Th-232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Th-природный включая (Th-232)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Th-234*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Pa-230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Pa-231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Pa-233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U-230*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U-232*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6,00E+08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U-235*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8,00E+07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U-природный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U-239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U-240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U-240*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Np-237*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Np-239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Np-240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Pu-234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Pu-235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Pu-236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Pu-237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Pu-238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Pu-239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Pu-240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Pu-241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3,00E+12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Pu-242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Pu-243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Pu-244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3,00E+08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Am-241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Am-242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Am-242m*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Am-243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1,00E+09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Cm-248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5,00E+09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Bk-249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1,00E+13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Cf-246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Cf-248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Cf-249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Cf-250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Cf-251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Cf-252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2,00E+10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Cf-253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4,00E+11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Cf-254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3,00E+08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Es-253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Es-254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Es-254m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Fm-254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1,00E+07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Fm-255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1,00E+06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Am-241+Be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6,00E+10</w:t>
            </w:r>
          </w:p>
        </w:tc>
      </w:tr>
      <w:tr>
        <w:trPr>
          <w:trHeight w:val="105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Pu-238+Be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6,00E+10</w:t>
            </w:r>
          </w:p>
        </w:tc>
      </w:tr>
      <w:tr>
        <w:trPr>
          <w:trHeight w:val="105" w:hRule="atLeast"/>
        </w:trPr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Sr-90+Y-90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1,00E+12</w:t>
            </w:r>
          </w:p>
        </w:tc>
      </w:tr>
    </w:tbl>
    <w:bookmarkStart w:name="z25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Минимально значимая удельная активность радионуклидов (МЗУА), минимальная значимая активность (МЗА) радионуклидов для открытых и закрытых радионуклидных источников, и пороговые значения активности для определения категории опасности для закрытых источников (D-величина)</w:t>
      </w:r>
    </w:p>
    <w:bookmarkEnd w:id="108"/>
    <w:bookmarkStart w:name="z26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Категории опасности радионуклидных источников в зависимости от</w:t>
      </w:r>
      <w:r>
        <w:br/>
      </w:r>
      <w:r>
        <w:rPr>
          <w:rFonts w:ascii="Times New Roman"/>
          <w:b/>
          <w:i w:val="false"/>
          <w:color w:val="000000"/>
        </w:rPr>
        <w:t>
отношения А/D</w:t>
      </w:r>
    </w:p>
    <w:bookmarkEnd w:id="109"/>
    <w:bookmarkStart w:name="z26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Таблица 1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8833"/>
      </w:tblGrid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Интервалы A/D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Категория, выбранная на основе A/D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A/D &gt; 1000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A/D&gt;10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A/D&gt;1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A/D&gt;0,01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A/D&gt; МЗА/D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26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гигиеническим нормативам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обеспечению радиационной безопасности"</w:t>
      </w:r>
    </w:p>
    <w:bookmarkEnd w:id="111"/>
    <w:bookmarkStart w:name="z26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вмешательства на загрязненных территориях</w:t>
      </w:r>
    </w:p>
    <w:bookmarkEnd w:id="112"/>
    <w:bookmarkStart w:name="z26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разных стадиях радиационной аварии вмешательство регулируется зонированием загрязненных территорий, основанным на величине годовой эффективной дозы, которая может быть получена жителями в отсутствии мер радиационной защиты. Под годовой дозой здесь понимается эффективная доза, средняя у жителей населенного пункта за текущий год, обусловленная искусственными радионуклидами, поступившими в окружающую среду в результате радиационной аварии.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территории, где годовая эффективная доза не превышает 1 мЗв, производится обычный контроль радиоактивного загрязнения объектов окружающей среды и сельскохозяйственной продукции, по результатам которого оценивается доза облучения населения. Проживание и хозяйственная деятельность населения на этой территории по радиационному фактору не ограничивается. Эта территория не относится к зонам радиоактивного загрязнения. При величине годовой дозы более 1 мЗв загрязненные территории по характеру необходимого контроля обстановки и защитных мероприятий подразделяются на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Зонирование на ранней и промежуточной стадиях радиационной аварии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нормативов.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Зонирование на восстановительной стадии радиационной аварии: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зона радиационного контроля - от 1 мЗв до 5 мЗв. В этой зоне помимо мониторинга радиоактивности объектов окружающей среды, сельскохозяйственной продукции и доз внешнего и внутреннего облучения населения и его критических групп осуществляются меры по снижению доз на основе принципа оптимизации и другие необходимые активные меры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зона ограниченного проживания населения - от 5 мЗв до 20 мЗв. В этой зоне осуществляются те же меры мониторинга и защиты населения, что и в зоне радиационного контроля. Добровольный въезд на указанную территорию для постоянного проживания не ограничивается. Лицам, въезжающим на указанную территорию для постоянного проживания, разъясняется риск ущербу здоровья, обусловленный воздействием радиации;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зона отселения - от 20 мЗв до 50 мЗв. Въезд на указанную территорию для постоянного проживания не разрешен. В этой зоне запрещается постоянное проживание лиц репродуктивного возраста и детей. Здесь осуществляется радиационный мониторинг людей и объектов внешней среды, а также необходимые меры радиационной и медицинской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зона отчуждения - более 50 мЗв. В этой зоне постоянное проживание не допускается, а хозяйственная деятельность и природопользование регулируются специальными актами. Осуществляются меры мониторинга и защиты работающих с обязательным и индивидуальным дозиметрическим контролем.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Нормативы вмешательства при обнаружении локальных радиоактивных загрязнений: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уровень исследования - от 0,01 до 0,3 мЗв/год. Это такой уровень радиационного воздействия источника на население, при достижении которого требуется выполнить исследование источника с целью уточнения оценки величины годовой эффективной дозы и определения величины дозы, ожидаемой за 70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уровень вмешательства - более 0,3 мЗв/год. Это такой уровень радиационного воздействия, при превышении которого требуется проведение защитных мероприятий с целью ограничения облучения населения.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Решение о необходимости, а также о характере, объеме и очередности защитных мероприятий принимается территориальными органами исполнительной власти с учетом следующих основных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местонахождения загрязненных участков (жилая зона: дворовые участки, дороги и подъездные пути, жилые здания, сельскохозяйственные угодья, садовые и приусадебные участки и другие; промышленная зона: территория предприятия, здания промышленного и административного назначения, места для сбора отходов и другое);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площади загрязненных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возможного проведения на участке загрязнения работ, действий (процессов), которые могут привести к увеличению уровней радиационного воздействия на население;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мощности дозы гамма-излучения, обусловленной радиоактивным загрязнением;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изменения мощности дозы гамма-излучения на различной глубине от поверхности почвы (при загрязнении территории).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header.xml" Type="http://schemas.openxmlformats.org/officeDocument/2006/relationships/header" Id="rId3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