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6d47" w14:textId="dfc6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средств по базовому финансированию субъектов 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2012 года № 233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2012 - 2014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средства по базовому финансированию субъектов научной и (или) научно-технической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 № 233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средств по базовому финансированию субъектов</w:t>
      </w:r>
      <w:r>
        <w:br/>
      </w:r>
      <w:r>
        <w:rPr>
          <w:rFonts w:ascii="Times New Roman"/>
          <w:b/>
          <w:i w:val="false"/>
          <w:color w:val="000000"/>
        </w:rPr>
        <w:t>
научной и (или) научно-технической деятельности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Правительства РК от 15.05.2012 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09.11.2012 </w:t>
      </w:r>
      <w:r>
        <w:rPr>
          <w:rFonts w:ascii="Times New Roman"/>
          <w:b w:val="false"/>
          <w:i w:val="false"/>
          <w:color w:val="ff0000"/>
          <w:sz w:val="28"/>
        </w:rPr>
        <w:t>№ 1428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19.12.2012 </w:t>
      </w:r>
      <w:r>
        <w:rPr>
          <w:rFonts w:ascii="Times New Roman"/>
          <w:b w:val="false"/>
          <w:i w:val="false"/>
          <w:color w:val="ff0000"/>
          <w:sz w:val="28"/>
        </w:rPr>
        <w:t>№ 1621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273"/>
        <w:gridCol w:w="37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4 981 723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981 116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563 083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707 430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