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77e7" w14:textId="8d77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отнесения концессионных проектов к категории социально значимых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2012 года № 457. Утратило силу постановлением Правительства Республики Казахстан от 16 июля 2015 года № 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 концессиях»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концессионных проектов к категории социально значимых.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457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отнесения концессионных проектов к категории</w:t>
      </w:r>
      <w:r>
        <w:br/>
      </w:r>
      <w:r>
        <w:rPr>
          <w:rFonts w:ascii="Times New Roman"/>
          <w:b/>
          <w:i w:val="false"/>
          <w:color w:val="000000"/>
        </w:rPr>
        <w:t>
социально значимых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отнесения концессионных проектов к категории социально значимых (далее - критерии)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 концессиях».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Отнесение концессионного проекта к категории социально значимых осуществляется в целях применения платы за доступность объекта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– признаки концессионного проекта, указывающие на его общественную направленность (удовлетворение общественных интересов посредством строительства, эксплуатации объектов общественной инфраструктуры).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Критерием отнесения концессионных проектов к категории социально значимых является реализация: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концессионных проектов в одной из следующих сфер: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социальное обеспечение, обслуживание и защита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здравоохранение;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среднее общее образование, дошкольное воспитание и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транспортная сфера;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концессионных проектов, которая влечет увеличение числа: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объектов социального обеспечения, обслуживания и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объектов среднего общего образования,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объектов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транспортной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