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564e" w14:textId="c9c5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осуществлении транспортного (автомобильного) контроля на внешней границе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23 апреля 2012 года № 507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об осуществлении транспортного (автомобильного) контроля на внешней границе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об осуществлении транспортного</w:t>
      </w:r>
      <w:r>
        <w:br/>
      </w:r>
      <w:r>
        <w:rPr>
          <w:rFonts w:ascii="Times New Roman"/>
          <w:b/>
          <w:i w:val="false"/>
          <w:color w:val="000000"/>
        </w:rPr>
        <w:t>
(автомобильного) контроля на внешней границе Таможенного союза</w:t>
      </w:r>
    </w:p>
    <w:p>
      <w:pPr>
        <w:spacing w:after="0"/>
        <w:ind w:left="0"/>
        <w:jc w:val="both"/>
      </w:pPr>
      <w:r>
        <w:rPr>
          <w:rFonts w:ascii="Times New Roman"/>
          <w:b w:val="false"/>
          <w:i w:val="false"/>
          <w:color w:val="000000"/>
          <w:sz w:val="28"/>
        </w:rPr>
        <w:t>      Ратифицировать Соглашение об осуществлении транспортного (автомобильного) контроля на внешней границе Таможенного союза, совершенное в городе Москве 22 июня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w:t>
      </w:r>
      <w:r>
        <w:br/>
      </w:r>
      <w:r>
        <w:rPr>
          <w:rFonts w:ascii="Times New Roman"/>
          <w:b/>
          <w:i w:val="false"/>
          <w:color w:val="000000"/>
        </w:rPr>
        <w:t>
об осуществлении транспортного (автомобильного) контроля на</w:t>
      </w:r>
      <w:r>
        <w:br/>
      </w:r>
      <w:r>
        <w:rPr>
          <w:rFonts w:ascii="Times New Roman"/>
          <w:b/>
          <w:i w:val="false"/>
          <w:color w:val="000000"/>
        </w:rPr>
        <w:t>
внешней границе Таможенного союза</w:t>
      </w:r>
    </w:p>
    <w:p>
      <w:pPr>
        <w:spacing w:after="0"/>
        <w:ind w:left="0"/>
        <w:jc w:val="both"/>
      </w:pPr>
      <w:r>
        <w:rPr>
          <w:rFonts w:ascii="Times New Roman"/>
          <w:b w:val="false"/>
          <w:i w:val="false"/>
          <w:color w:val="000000"/>
          <w:sz w:val="28"/>
        </w:rPr>
        <w:t>      Правительства государств-участников Таможенного союза в рамках ЕврАзЭС, далее именуемые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w:t>
      </w:r>
      <w:r>
        <w:rPr>
          <w:rFonts w:ascii="Times New Roman"/>
          <w:b w:val="false"/>
          <w:i w:val="false"/>
          <w:color w:val="000000"/>
          <w:sz w:val="28"/>
        </w:rPr>
        <w:t>Решениях</w:t>
      </w:r>
      <w:r>
        <w:rPr>
          <w:rFonts w:ascii="Times New Roman"/>
          <w:b w:val="false"/>
          <w:i w:val="false"/>
          <w:color w:val="000000"/>
          <w:sz w:val="28"/>
        </w:rPr>
        <w:t xml:space="preserve"> Комиссии таможенного союза от 25 сентября 2009 года № 94, от 21 октября 2009 года № </w:t>
      </w:r>
      <w:r>
        <w:rPr>
          <w:rFonts w:ascii="Times New Roman"/>
          <w:b w:val="false"/>
          <w:i w:val="false"/>
          <w:color w:val="000000"/>
          <w:sz w:val="28"/>
        </w:rPr>
        <w:t>106</w:t>
      </w:r>
      <w:r>
        <w:rPr>
          <w:rFonts w:ascii="Times New Roman"/>
          <w:b w:val="false"/>
          <w:i w:val="false"/>
          <w:color w:val="000000"/>
          <w:sz w:val="28"/>
        </w:rPr>
        <w:t>,</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в целях упрощения перемещения товаров и автомобильных транспортных средств на единой таможенной территории Таможенного союза, организации единых подходов в проведении контроля на внешней границе Таможенного союза за осуществлением международных автомобильных перевозок по единой таможенной территории Таможенного союза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r>
        <w:br/>
      </w:r>
      <w:r>
        <w:rPr>
          <w:rFonts w:ascii="Times New Roman"/>
          <w:b w:val="false"/>
          <w:i w:val="false"/>
          <w:color w:val="000000"/>
          <w:sz w:val="28"/>
        </w:rPr>
        <w:t>
      ”транспортный (автомобильный) контроль“ – контроль за осуществлением международных автомобильных перевозок;</w:t>
      </w:r>
      <w:r>
        <w:br/>
      </w:r>
      <w:r>
        <w:rPr>
          <w:rFonts w:ascii="Times New Roman"/>
          <w:b w:val="false"/>
          <w:i w:val="false"/>
          <w:color w:val="000000"/>
          <w:sz w:val="28"/>
        </w:rPr>
        <w:t>
      “органы транспортного (автомобильного) контроля“ – компетентные органы, уполномоченные государством Стороны на осуществление транспортного (автомобильного) контроля на территории государства Стороны;</w:t>
      </w:r>
      <w:r>
        <w:br/>
      </w:r>
      <w:r>
        <w:rPr>
          <w:rFonts w:ascii="Times New Roman"/>
          <w:b w:val="false"/>
          <w:i w:val="false"/>
          <w:color w:val="000000"/>
          <w:sz w:val="28"/>
        </w:rPr>
        <w:t>
      ”контрольный пункт“ – оборудованный в соответствии с требованиями законодательства государства Стороны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r>
        <w:br/>
      </w:r>
      <w:r>
        <w:rPr>
          <w:rFonts w:ascii="Times New Roman"/>
          <w:b w:val="false"/>
          <w:i w:val="false"/>
          <w:color w:val="000000"/>
          <w:sz w:val="28"/>
        </w:rPr>
        <w:t>
      ”перевозчик” – юридическое или физическое лицо, использующее на праве собственности или ином законном основании транспортное средство;</w:t>
      </w:r>
      <w:r>
        <w:br/>
      </w:r>
      <w:r>
        <w:rPr>
          <w:rFonts w:ascii="Times New Roman"/>
          <w:b w:val="false"/>
          <w:i w:val="false"/>
          <w:color w:val="000000"/>
          <w:sz w:val="28"/>
        </w:rPr>
        <w:t>
      ”транспортное средство“:</w:t>
      </w:r>
      <w:r>
        <w:br/>
      </w:r>
      <w:r>
        <w:rPr>
          <w:rFonts w:ascii="Times New Roman"/>
          <w:b w:val="false"/>
          <w:i w:val="false"/>
          <w:color w:val="000000"/>
          <w:sz w:val="28"/>
        </w:rPr>
        <w:t>
      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r>
        <w:br/>
      </w:r>
      <w:r>
        <w:rPr>
          <w:rFonts w:ascii="Times New Roman"/>
          <w:b w:val="false"/>
          <w:i w:val="false"/>
          <w:color w:val="000000"/>
          <w:sz w:val="28"/>
        </w:rPr>
        <w:t>
      при перевозке пассажиров – автобус, то есть автомобильное транспортное средство, предназначенное для перевозки пассажиров и багажа, имеющее более девяти мест для сидения, включая место водителя, в том числе с прицепом для перевозки багажа;</w:t>
      </w:r>
      <w:r>
        <w:br/>
      </w:r>
      <w:r>
        <w:rPr>
          <w:rFonts w:ascii="Times New Roman"/>
          <w:b w:val="false"/>
          <w:i w:val="false"/>
          <w:color w:val="000000"/>
          <w:sz w:val="28"/>
        </w:rPr>
        <w:t>
      ”весовые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r>
        <w:br/>
      </w:r>
      <w:r>
        <w:rPr>
          <w:rFonts w:ascii="Times New Roman"/>
          <w:b w:val="false"/>
          <w:i w:val="false"/>
          <w:color w:val="000000"/>
          <w:sz w:val="28"/>
        </w:rPr>
        <w:t>
      “внешняя граница Таможенного союза” – пределы единой таможенной территории Таможенного союза, разделяющие территории государств–членов Таможенного союза и территории государств, не являющихся государствами–членами Таможенного союза.</w:t>
      </w:r>
      <w:r>
        <w:br/>
      </w:r>
      <w:r>
        <w:rPr>
          <w:rFonts w:ascii="Times New Roman"/>
          <w:b w:val="false"/>
          <w:i w:val="false"/>
          <w:color w:val="000000"/>
          <w:sz w:val="28"/>
        </w:rPr>
        <w:t>
      Термины, специально не определенные в настоящем Соглашении, используются в значениях, установленных другими международными договорами государств Сторон, в том числе заключенными в рамках Таможенного союза.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Настоящее Соглашение определяет единые подходы к осуществлению транспортного (автомобильного) контроля органами транспортного (автомобильного) контроля на внешней границе Таможенного союза транспортных средств, въезжающих (выезжающих, следующих транзитом) на территорию государства любой из Сторон.</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Транспортные средства, следующие в государство одной Стороны через территорию государства другой Стороны, подлежат транспортному (автомобильному) контролю в контрольных пунктах, расположенных на внешней границе Таможенного союза, в соответствии с законодательством государства Стороны, через территорию которого следуют указанные транспортные средства, и статьями 4-6 настоящего Соглашения.</w:t>
      </w:r>
      <w:r>
        <w:br/>
      </w:r>
      <w:r>
        <w:rPr>
          <w:rFonts w:ascii="Times New Roman"/>
          <w:b w:val="false"/>
          <w:i w:val="false"/>
          <w:color w:val="000000"/>
          <w:sz w:val="28"/>
        </w:rPr>
        <w:t>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 Стороны, территорию которого они пересекают на внешней границе Таможенного союза, и настоящим Соглашением.</w:t>
      </w:r>
      <w:r>
        <w:br/>
      </w:r>
      <w:r>
        <w:rPr>
          <w:rFonts w:ascii="Times New Roman"/>
          <w:b w:val="false"/>
          <w:i w:val="false"/>
          <w:color w:val="000000"/>
          <w:sz w:val="28"/>
        </w:rPr>
        <w:t>
      Органы транспортного (автомобильного) контроля взаимно признают документы, оформленные ими по результатам транспортного (автомобильного) контроля.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Орган транспортного (автомобильного) контроля государства Стороны, через государственную границу которого осуществляется въезд на единую таможенную территорию Таможенного союза (далее – территория Таможенного союза), в контрольных пунктах помимо действий по транспортному контролю, предусмотренных законодательством указанного государства, осуществляет:</w:t>
      </w:r>
      <w:r>
        <w:br/>
      </w:r>
      <w:r>
        <w:rPr>
          <w:rFonts w:ascii="Times New Roman"/>
          <w:b w:val="false"/>
          <w:i w:val="false"/>
          <w:color w:val="000000"/>
          <w:sz w:val="28"/>
        </w:rPr>
        <w:t>
      1) проверку соответствия весовых и габаритных параметров транспортного средства нормам, аналогичным установленным законодательством других государств Сторон, по территории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 Сторон;</w:t>
      </w:r>
      <w:r>
        <w:br/>
      </w:r>
      <w:r>
        <w:rPr>
          <w:rFonts w:ascii="Times New Roman"/>
          <w:b w:val="false"/>
          <w:i w:val="false"/>
          <w:color w:val="000000"/>
          <w:sz w:val="28"/>
        </w:rPr>
        <w:t>
      2) проверку наличия у перевозчика разрешений на проезд по территории других государств Сторон,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r>
        <w:br/>
      </w:r>
      <w:r>
        <w:rPr>
          <w:rFonts w:ascii="Times New Roman"/>
          <w:b w:val="false"/>
          <w:i w:val="false"/>
          <w:color w:val="000000"/>
          <w:sz w:val="28"/>
        </w:rPr>
        <w:t>
      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 Сторон, по которым осуществляется проезд;</w:t>
      </w:r>
      <w:r>
        <w:br/>
      </w:r>
      <w:r>
        <w:rPr>
          <w:rFonts w:ascii="Times New Roman"/>
          <w:b w:val="false"/>
          <w:i w:val="false"/>
          <w:color w:val="000000"/>
          <w:sz w:val="28"/>
        </w:rPr>
        <w:t>
      4) проверку наличия у перевозчика разрешений (специальных разрешений) на перевозку в третьи страны (из третьих стран) на территории других государств Сторон, по которым осуществляется перевозка;</w:t>
      </w:r>
      <w:r>
        <w:br/>
      </w:r>
      <w:r>
        <w:rPr>
          <w:rFonts w:ascii="Times New Roman"/>
          <w:b w:val="false"/>
          <w:i w:val="false"/>
          <w:color w:val="000000"/>
          <w:sz w:val="28"/>
        </w:rPr>
        <w:t>
      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 Сторон осуществление перевозки допускается без разрешения на проезд по территориям других государств Сторон, а также в случае, если перевозка осуществляется в соответствии с многосторонним разрешением.</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Органы транспортного (автомобильного) контроля при выезде транспортного средства через внешнюю границу Таможенного союза помимо действий, указанных в статье 4 настоящего Соглашения, в контрольных пунктах осуществляют проверку:</w:t>
      </w:r>
      <w:r>
        <w:br/>
      </w:r>
      <w:r>
        <w:rPr>
          <w:rFonts w:ascii="Times New Roman"/>
          <w:b w:val="false"/>
          <w:i w:val="false"/>
          <w:color w:val="000000"/>
          <w:sz w:val="28"/>
        </w:rPr>
        <w:t>
      1) наличия у перевозчика квитанции об уплате сборов за проезд транспортного средства по автомобильным дорогам государств Сторон, по территории которых осуществлялся проезд, если уплата такого сбора обязательна в соответствии с национальным законодательством государств Сторон;</w:t>
      </w:r>
      <w:r>
        <w:br/>
      </w:r>
      <w:r>
        <w:rPr>
          <w:rFonts w:ascii="Times New Roman"/>
          <w:b w:val="false"/>
          <w:i w:val="false"/>
          <w:color w:val="000000"/>
          <w:sz w:val="28"/>
        </w:rPr>
        <w:t>
      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 Стороны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государства одной из Сторон или в учетном талоне имеется отметка органа транспортного (автомобильного) контроля о наложении на перевозчика (водителя) такого штрафа;</w:t>
      </w:r>
      <w:r>
        <w:br/>
      </w:r>
      <w:r>
        <w:rPr>
          <w:rFonts w:ascii="Times New Roman"/>
          <w:b w:val="false"/>
          <w:i w:val="false"/>
          <w:color w:val="000000"/>
          <w:sz w:val="28"/>
        </w:rPr>
        <w:t>
      3) наличия допуска транспортных средств перевозчиков государств Сторон к международным автомобильным перевозкам;</w:t>
      </w:r>
      <w:r>
        <w:br/>
      </w:r>
      <w:r>
        <w:rPr>
          <w:rFonts w:ascii="Times New Roman"/>
          <w:b w:val="false"/>
          <w:i w:val="false"/>
          <w:color w:val="000000"/>
          <w:sz w:val="28"/>
        </w:rPr>
        <w:t>
      4) наличия у перевозчика необходимых документов в случае получения уведомления, указанного в статье 6 настоящего Соглашения, от органа транспортного (автомобильного) контроля другой Стороны.</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При установлении в ходе контрольных действий, предусмотренных статьей 4 настоящего Соглашения, несоответствия контролируемых параметров транспортного средства, отсутствия или несоответствии документов, предусмотренных законодательством государств Сторон, орган транспортного (автомобильного) контроля одной Стороны выдает водителю уведомление по форме, согласованной органами транспортного (автомобильного) контроля Сторон, содержащее информацию:</w:t>
      </w:r>
      <w:r>
        <w:br/>
      </w:r>
      <w:r>
        <w:rPr>
          <w:rFonts w:ascii="Times New Roman"/>
          <w:b w:val="false"/>
          <w:i w:val="false"/>
          <w:color w:val="000000"/>
          <w:sz w:val="28"/>
        </w:rPr>
        <w:t>
      о выявленных несоответствиях;</w:t>
      </w:r>
      <w:r>
        <w:br/>
      </w:r>
      <w:r>
        <w:rPr>
          <w:rFonts w:ascii="Times New Roman"/>
          <w:b w:val="false"/>
          <w:i w:val="false"/>
          <w:color w:val="000000"/>
          <w:sz w:val="28"/>
        </w:rPr>
        <w:t>
      о необходимости получения недостающих документов до прибытия на территорию государства другой Стороны;</w:t>
      </w:r>
      <w:r>
        <w:br/>
      </w:r>
      <w:r>
        <w:rPr>
          <w:rFonts w:ascii="Times New Roman"/>
          <w:b w:val="false"/>
          <w:i w:val="false"/>
          <w:color w:val="000000"/>
          <w:sz w:val="28"/>
        </w:rPr>
        <w:t>
      о ближайшем, с учетом маршрута следования транспортного средства, контрольном пункте органа транспортного (автомобильного) контроля другой Стороны,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r>
        <w:br/>
      </w:r>
      <w:r>
        <w:rPr>
          <w:rFonts w:ascii="Times New Roman"/>
          <w:b w:val="false"/>
          <w:i w:val="false"/>
          <w:color w:val="000000"/>
          <w:sz w:val="28"/>
        </w:rPr>
        <w:t>
      Информация о выдаче уведомления направляется органу транспортного (автомобильного) контроля другой Стороны и вносится в информационную базу органа транспортного (автомобильного) контроля, выявившего несоответствие.</w:t>
      </w:r>
      <w:r>
        <w:br/>
      </w:r>
      <w:r>
        <w:rPr>
          <w:rFonts w:ascii="Times New Roman"/>
          <w:b w:val="false"/>
          <w:i w:val="false"/>
          <w:color w:val="000000"/>
          <w:sz w:val="28"/>
        </w:rPr>
        <w:t>
      В случае, если органом транспортного (автомобильного) контроля одной Стороны перевозчику выдано уведомление в соответствии настоящей статьей, орган транспортного (автомобильного) контроля другой Стороны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государства этой другой Стороны.</w:t>
      </w:r>
      <w:r>
        <w:br/>
      </w:r>
      <w:r>
        <w:rPr>
          <w:rFonts w:ascii="Times New Roman"/>
          <w:b w:val="false"/>
          <w:i w:val="false"/>
          <w:color w:val="000000"/>
          <w:sz w:val="28"/>
        </w:rPr>
        <w:t>
      Выпуск транспортного средства с территории Таможенного союза не осуществляется до предъявления перевозчиком документов, наличие которых предусмотрено статьями 4 и 5 настоящего Соглашения.</w:t>
      </w:r>
      <w:r>
        <w:br/>
      </w:r>
      <w:r>
        <w:rPr>
          <w:rFonts w:ascii="Times New Roman"/>
          <w:b w:val="false"/>
          <w:i w:val="false"/>
          <w:color w:val="000000"/>
          <w:sz w:val="28"/>
        </w:rPr>
        <w:t>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 Сторон, орган транспортного (автомобильного) контроля одной Стороны при выезде через внешнюю границу Таможенного союза транспортного средства, следующего с территории государства другой Стороны, об этом информируется орган транспортного (автомобильного) контроля другой Стороны.</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Стороны на основе взаимности принимают меры по гармонизации законодательства государств Сторон, методов и технологий осуществления транспортного (автомобильного) контроля на внешней границе Таможенного союза в части:</w:t>
      </w:r>
      <w:r>
        <w:br/>
      </w:r>
      <w:r>
        <w:rPr>
          <w:rFonts w:ascii="Times New Roman"/>
          <w:b w:val="false"/>
          <w:i w:val="false"/>
          <w:color w:val="000000"/>
          <w:sz w:val="28"/>
        </w:rPr>
        <w:t>
      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r>
        <w:br/>
      </w:r>
      <w:r>
        <w:rPr>
          <w:rFonts w:ascii="Times New Roman"/>
          <w:b w:val="false"/>
          <w:i w:val="false"/>
          <w:color w:val="000000"/>
          <w:sz w:val="28"/>
        </w:rPr>
        <w:t>
      2) создания системы контроля за полнотой уплаты сборов за проезд транспортных средств по автомобильным дорогам общего пользования государства другой Стороны;</w:t>
      </w:r>
      <w:r>
        <w:br/>
      </w:r>
      <w:r>
        <w:rPr>
          <w:rFonts w:ascii="Times New Roman"/>
          <w:b w:val="false"/>
          <w:i w:val="false"/>
          <w:color w:val="000000"/>
          <w:sz w:val="28"/>
        </w:rPr>
        <w:t>
      3) выработки механизма по урегулированию спорных ситуаций в случае их возникновения с перевозчиками третьих стран;</w:t>
      </w:r>
      <w:r>
        <w:br/>
      </w:r>
      <w:r>
        <w:rPr>
          <w:rFonts w:ascii="Times New Roman"/>
          <w:b w:val="false"/>
          <w:i w:val="false"/>
          <w:color w:val="000000"/>
          <w:sz w:val="28"/>
        </w:rPr>
        <w:t>
      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Таможенного союза.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Разрешения (специальные разрешения), являются недействительными в случае, если:</w:t>
      </w:r>
      <w:r>
        <w:br/>
      </w:r>
      <w:r>
        <w:rPr>
          <w:rFonts w:ascii="Times New Roman"/>
          <w:b w:val="false"/>
          <w:i w:val="false"/>
          <w:color w:val="000000"/>
          <w:sz w:val="28"/>
        </w:rPr>
        <w:t>
      1) они оформлены или используются в нарушение законодательства государства Стороны, компетентные органы которого выдали указанные разрешения;</w:t>
      </w:r>
      <w:r>
        <w:br/>
      </w:r>
      <w:r>
        <w:rPr>
          <w:rFonts w:ascii="Times New Roman"/>
          <w:b w:val="false"/>
          <w:i w:val="false"/>
          <w:color w:val="000000"/>
          <w:sz w:val="28"/>
        </w:rPr>
        <w:t>
      2) весовые и (или) габаритные параметры транспортного средства, указанные в специальном разрешении государства Стороны, не соответствуют результатам взвешивания и замера габаритов транспортного средства;</w:t>
      </w:r>
      <w:r>
        <w:br/>
      </w:r>
      <w:r>
        <w:rPr>
          <w:rFonts w:ascii="Times New Roman"/>
          <w:b w:val="false"/>
          <w:i w:val="false"/>
          <w:color w:val="000000"/>
          <w:sz w:val="28"/>
        </w:rPr>
        <w:t>
      3) характеристики транспортного средства не соответствуют характеристикам транспортного средства, предусмотренным разрешением на проезд по территории государств Сторон.</w:t>
      </w:r>
      <w:r>
        <w:br/>
      </w:r>
      <w:r>
        <w:rPr>
          <w:rFonts w:ascii="Times New Roman"/>
          <w:b w:val="false"/>
          <w:i w:val="false"/>
          <w:color w:val="000000"/>
          <w:sz w:val="28"/>
        </w:rPr>
        <w:t>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одной Стороны имеет право запрашивать в оперативном порядке от органа транспортного (автомобильного) контроля другой Стороны подтверждение действительности разрешения.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целях реализации настоящего Соглашения органы транспортного (автомобильного) контроля:</w:t>
      </w:r>
      <w:r>
        <w:br/>
      </w:r>
      <w:r>
        <w:rPr>
          <w:rFonts w:ascii="Times New Roman"/>
          <w:b w:val="false"/>
          <w:i w:val="false"/>
          <w:color w:val="000000"/>
          <w:sz w:val="28"/>
        </w:rPr>
        <w:t>
      1) заключают отдельные протоколы, доводят до органов транспортного (автомобильного) контроля другой Стороны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любых вносимых в указанные акты изменениях, а также обмениваются образцами документов, необходимых для реализации настоящего Соглашения;</w:t>
      </w:r>
      <w:r>
        <w:br/>
      </w:r>
      <w:r>
        <w:rPr>
          <w:rFonts w:ascii="Times New Roman"/>
          <w:b w:val="false"/>
          <w:i w:val="false"/>
          <w:color w:val="000000"/>
          <w:sz w:val="28"/>
        </w:rPr>
        <w:t>
      2) взаимно и регулярно обмениваются информацией, полученной в результате транспортного (автомобильного) контроля. Форма, состав и порядок обмена информацией определяются органами транспортного (автомобильного) контроля государств Сторон;</w:t>
      </w:r>
      <w:r>
        <w:br/>
      </w:r>
      <w:r>
        <w:rPr>
          <w:rFonts w:ascii="Times New Roman"/>
          <w:b w:val="false"/>
          <w:i w:val="false"/>
          <w:color w:val="000000"/>
          <w:sz w:val="28"/>
        </w:rPr>
        <w:t>
      3) организуют ведение базы данных о транспортных средствах, следующих транзитом через территорию государства одной Стороны на территорию государства другой Стороны, и взаимно обмениваются информацией, содержащейся в этой базе.</w:t>
      </w:r>
      <w:r>
        <w:br/>
      </w:r>
      <w:r>
        <w:rPr>
          <w:rFonts w:ascii="Times New Roman"/>
          <w:b w:val="false"/>
          <w:i w:val="false"/>
          <w:color w:val="000000"/>
          <w:sz w:val="28"/>
        </w:rPr>
        <w:t xml:space="preserve">
      Обмен информацией, полученной в результате транспортного (автомобильного) контроля, осуществляется в электронном виде. </w:t>
      </w:r>
      <w:r>
        <w:br/>
      </w:r>
      <w:r>
        <w:rPr>
          <w:rFonts w:ascii="Times New Roman"/>
          <w:b w:val="false"/>
          <w:i w:val="false"/>
          <w:color w:val="000000"/>
          <w:sz w:val="28"/>
        </w:rPr>
        <w:t>
      Органы транспортного (автомобильного) контроля государств Сторон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со статьями 4-6 настоящего Соглашения, а также обеспечивают взаимное использование этих информационных ресурсов.</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Стороны в установленном порядке информируют компетентные органы иностранных государств об изменении порядка осуществления транспортного (автомобильного) контроля на внешней границе Таможенного союза в соответствии с настоящим Соглашением.</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Для выполнения положений настоящего Соглашения Стороны создают совместную комиссию, заседания которой будут проводиться по мере необходимости.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консультаций и (или) переговоров.</w:t>
      </w:r>
      <w:r>
        <w:br/>
      </w:r>
      <w:r>
        <w:rPr>
          <w:rFonts w:ascii="Times New Roman"/>
          <w:b w:val="false"/>
          <w:i w:val="false"/>
          <w:color w:val="000000"/>
          <w:sz w:val="28"/>
        </w:rPr>
        <w:t>
      Если спор не будет урегулирован Сторонами путем консультаций и (или) переговоров в течение шести месяцев с даты официальной письменной просьбы об их проведении, направленной одной из Сторон другой Стороне, то любая из Сторон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 которые оформляются протоколами и являются его неотъемлемыми частями.</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Сторонами всех внутригосударственных процедур, необходимых для его вступления в силу.</w:t>
      </w:r>
      <w:r>
        <w:br/>
      </w:r>
      <w:r>
        <w:rPr>
          <w:rFonts w:ascii="Times New Roman"/>
          <w:b w:val="false"/>
          <w:i w:val="false"/>
          <w:color w:val="000000"/>
          <w:sz w:val="28"/>
        </w:rPr>
        <w:t>
      Любая из Сторон может прекратить действие настоящего Соглашения, направив по дипломатическим каналам письменное уведомление об этом депозитарию не позднее, чем за 60 (шестьдесят) дней до предполагаемой даты его прекращения.</w:t>
      </w:r>
      <w:r>
        <w:br/>
      </w:r>
      <w:r>
        <w:rPr>
          <w:rFonts w:ascii="Times New Roman"/>
          <w:b w:val="false"/>
          <w:i w:val="false"/>
          <w:color w:val="000000"/>
          <w:sz w:val="28"/>
        </w:rPr>
        <w:t>
      Совершено в городе Москве 22 июня 2011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его депозитарием и направит каждой Стороне заверенную копию настоящего Соглашения.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4260"/>
        <w:gridCol w:w="4405"/>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