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f45f" w14:textId="192f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участия субъектов администрирования в реализации проектных механизмов в сфере регулирования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2012 года № 594. Утратило силу постановлением Правительства Республики Казахстан от 25 апреля 2015 года № 323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участия субъектов администрирования в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2012 года № 594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участия субъектов администрирования в реализации</w:t>
      </w:r>
      <w:r>
        <w:br/>
      </w:r>
      <w:r>
        <w:rPr>
          <w:rFonts w:ascii="Times New Roman"/>
          <w:b/>
          <w:i w:val="false"/>
          <w:color w:val="000000"/>
        </w:rPr>
        <w:t>
проектных механизмов в сфере регулирования выбросов и</w:t>
      </w:r>
      <w:r>
        <w:br/>
      </w:r>
      <w:r>
        <w:rPr>
          <w:rFonts w:ascii="Times New Roman"/>
          <w:b/>
          <w:i w:val="false"/>
          <w:color w:val="000000"/>
        </w:rPr>
        <w:t>
поглощений парниковых газов</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участия субъектов администрирования в реализации проектных механизмов в сфере регулирования выбросов и поглощений парниковых газов (далее – Правила) определяют порядок участия субъектов администрирования в реализации проектов по сокращению выбросов парниковых газов или увеличению их поглощения.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субъекты администрирования – юридические лица, осуществляющие деятельность, связанную с выбросами парниковых газов, объем которых не превышает эквивалента двадцати тысяч тонн двуокиси углерода в год, в следующих отраслях экономики: нефтегазовой, энергетической, горно-металлургической, химической, в сельском хозяйстве, транспорте, а также в жилищно-коммунальном хозяйстве;</w:t>
      </w:r>
      <w:r>
        <w:br/>
      </w:r>
      <w:r>
        <w:rPr>
          <w:rFonts w:ascii="Times New Roman"/>
          <w:b w:val="false"/>
          <w:i w:val="false"/>
          <w:color w:val="000000"/>
          <w:sz w:val="28"/>
        </w:rPr>
        <w:t>
</w:t>
      </w:r>
      <w:r>
        <w:rPr>
          <w:rFonts w:ascii="Times New Roman"/>
          <w:b w:val="false"/>
          <w:i w:val="false"/>
          <w:color w:val="000000"/>
          <w:sz w:val="28"/>
        </w:rPr>
        <w:t>
      2) инвестор проекта – участник проекта, направленного на сокращение выбросов и поглощение парниковых газов, осуществляющий его целевое финансирование на основании договора с оператором проекта;</w:t>
      </w:r>
      <w:r>
        <w:br/>
      </w:r>
      <w:r>
        <w:rPr>
          <w:rFonts w:ascii="Times New Roman"/>
          <w:b w:val="false"/>
          <w:i w:val="false"/>
          <w:color w:val="000000"/>
          <w:sz w:val="28"/>
        </w:rPr>
        <w:t>
</w:t>
      </w:r>
      <w:r>
        <w:rPr>
          <w:rFonts w:ascii="Times New Roman"/>
          <w:b w:val="false"/>
          <w:i w:val="false"/>
          <w:color w:val="000000"/>
          <w:sz w:val="28"/>
        </w:rPr>
        <w:t>
      3) оператор проекта – участник проекта, направленного на сокращение выбросов и поглощение парниковых газов, осуществляющий управление процессом его реализации.</w:t>
      </w:r>
      <w:r>
        <w:br/>
      </w:r>
      <w:r>
        <w:rPr>
          <w:rFonts w:ascii="Times New Roman"/>
          <w:b w:val="false"/>
          <w:i w:val="false"/>
          <w:color w:val="000000"/>
          <w:sz w:val="28"/>
        </w:rPr>
        <w:t>
</w:t>
      </w:r>
      <w:r>
        <w:rPr>
          <w:rFonts w:ascii="Times New Roman"/>
          <w:b w:val="false"/>
          <w:i w:val="false"/>
          <w:color w:val="000000"/>
          <w:sz w:val="28"/>
        </w:rPr>
        <w:t>
      3. Проектные механизмы в сфере регулирования выбросов и поглощений парниковых газов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реализации проектных механизмов в сфере регулирования выбросов и поглощений парниковых газов.</w:t>
      </w:r>
    </w:p>
    <w:bookmarkEnd w:id="5"/>
    <w:bookmarkStart w:name="z13" w:id="6"/>
    <w:p>
      <w:pPr>
        <w:spacing w:after="0"/>
        <w:ind w:left="0"/>
        <w:jc w:val="left"/>
      </w:pPr>
      <w:r>
        <w:rPr>
          <w:rFonts w:ascii="Times New Roman"/>
          <w:b/>
          <w:i w:val="false"/>
          <w:color w:val="000000"/>
        </w:rPr>
        <w:t xml:space="preserve"> 
2. Порядок участия субъектов администрирования в реализации</w:t>
      </w:r>
      <w:r>
        <w:br/>
      </w:r>
      <w:r>
        <w:rPr>
          <w:rFonts w:ascii="Times New Roman"/>
          <w:b/>
          <w:i w:val="false"/>
          <w:color w:val="000000"/>
        </w:rPr>
        <w:t>
проектных механизмов в сфере регулирования выбросов и</w:t>
      </w:r>
      <w:r>
        <w:br/>
      </w:r>
      <w:r>
        <w:rPr>
          <w:rFonts w:ascii="Times New Roman"/>
          <w:b/>
          <w:i w:val="false"/>
          <w:color w:val="000000"/>
        </w:rPr>
        <w:t>
поглощений парниковых газов</w:t>
      </w:r>
    </w:p>
    <w:bookmarkEnd w:id="6"/>
    <w:bookmarkStart w:name="z14" w:id="7"/>
    <w:p>
      <w:pPr>
        <w:spacing w:after="0"/>
        <w:ind w:left="0"/>
        <w:jc w:val="both"/>
      </w:pPr>
      <w:r>
        <w:rPr>
          <w:rFonts w:ascii="Times New Roman"/>
          <w:b w:val="false"/>
          <w:i w:val="false"/>
          <w:color w:val="000000"/>
          <w:sz w:val="28"/>
        </w:rPr>
        <w:t>
      4. Субъекты администрирования участвуют в проектах по механизмам совместного осуществления, чистого развития только после прохождения Республикой Казахстан международных процедур по определению установленного количества в соответствии с </w:t>
      </w:r>
      <w:r>
        <w:rPr>
          <w:rFonts w:ascii="Times New Roman"/>
          <w:b w:val="false"/>
          <w:i w:val="false"/>
          <w:color w:val="000000"/>
          <w:sz w:val="28"/>
        </w:rPr>
        <w:t>международным договором</w:t>
      </w:r>
      <w:r>
        <w:rPr>
          <w:rFonts w:ascii="Times New Roman"/>
          <w:b w:val="false"/>
          <w:i w:val="false"/>
          <w:color w:val="000000"/>
          <w:sz w:val="28"/>
        </w:rPr>
        <w:t xml:space="preserve"> с количественными обязательствами по сокращению выбросов парниковых газов, ратифицированным Республикой Казахстан, и представления соответствующих данных по стране в международный регистрационный журнал операций.</w:t>
      </w:r>
      <w:r>
        <w:br/>
      </w:r>
      <w:r>
        <w:rPr>
          <w:rFonts w:ascii="Times New Roman"/>
          <w:b w:val="false"/>
          <w:i w:val="false"/>
          <w:color w:val="000000"/>
          <w:sz w:val="28"/>
        </w:rPr>
        <w:t>
</w:t>
      </w:r>
      <w:r>
        <w:rPr>
          <w:rFonts w:ascii="Times New Roman"/>
          <w:b w:val="false"/>
          <w:i w:val="false"/>
          <w:color w:val="000000"/>
          <w:sz w:val="28"/>
        </w:rPr>
        <w:t>
      5. Субъекты администрирования участвуют в реализации на территории Республики Казахстан проектов по механизму внутреннего сокращения выбросов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Субъекты администрирования участвуют в качестве операторов либо инвесторов внутренних проектов по сокращению выбросов парниковых газов.</w:t>
      </w:r>
      <w:r>
        <w:br/>
      </w:r>
      <w:r>
        <w:rPr>
          <w:rFonts w:ascii="Times New Roman"/>
          <w:b w:val="false"/>
          <w:i w:val="false"/>
          <w:color w:val="000000"/>
          <w:sz w:val="28"/>
        </w:rPr>
        <w:t>
</w:t>
      </w:r>
      <w:r>
        <w:rPr>
          <w:rFonts w:ascii="Times New Roman"/>
          <w:b w:val="false"/>
          <w:i w:val="false"/>
          <w:color w:val="000000"/>
          <w:sz w:val="28"/>
        </w:rPr>
        <w:t>
      7. В случае принятия участия в проектных механизмах, субъекты администрирования подают ежегодно не позднее 1 марта паспорта установок, являющихся источниками выбросов парниковых газов, подтвержденные независимыми аккредитованными организациями.</w:t>
      </w:r>
      <w:r>
        <w:br/>
      </w:r>
      <w:r>
        <w:rPr>
          <w:rFonts w:ascii="Times New Roman"/>
          <w:b w:val="false"/>
          <w:i w:val="false"/>
          <w:color w:val="000000"/>
          <w:sz w:val="28"/>
        </w:rPr>
        <w:t>
</w:t>
      </w:r>
      <w:r>
        <w:rPr>
          <w:rFonts w:ascii="Times New Roman"/>
          <w:b w:val="false"/>
          <w:i w:val="false"/>
          <w:color w:val="000000"/>
          <w:sz w:val="28"/>
        </w:rPr>
        <w:t>
      8. Уполномоченный орган в области охраны окружающей среды на основе представленного субъектом администрирования </w:t>
      </w:r>
      <w:r>
        <w:rPr>
          <w:rFonts w:ascii="Times New Roman"/>
          <w:b w:val="false"/>
          <w:i w:val="false"/>
          <w:color w:val="000000"/>
          <w:sz w:val="28"/>
        </w:rPr>
        <w:t>паспорта установки</w:t>
      </w:r>
      <w:r>
        <w:rPr>
          <w:rFonts w:ascii="Times New Roman"/>
          <w:b w:val="false"/>
          <w:i w:val="false"/>
          <w:color w:val="000000"/>
          <w:sz w:val="28"/>
        </w:rPr>
        <w:t xml:space="preserve"> (установок) определяет соответствие субъекта администрирования </w:t>
      </w:r>
      <w:r>
        <w:rPr>
          <w:rFonts w:ascii="Times New Roman"/>
          <w:b w:val="false"/>
          <w:i w:val="false"/>
          <w:color w:val="000000"/>
          <w:sz w:val="28"/>
        </w:rPr>
        <w:t>требованиям</w:t>
      </w:r>
      <w:r>
        <w:rPr>
          <w:rFonts w:ascii="Times New Roman"/>
          <w:b w:val="false"/>
          <w:i w:val="false"/>
          <w:color w:val="000000"/>
          <w:sz w:val="28"/>
        </w:rPr>
        <w:t xml:space="preserve"> по квотированию выбросов парниковых газов. В случае, если объем выбросов парниковых газов превышает эквивалент двадцати тысяч тонн двуокиси углерода в год, субъект администрирования подает документы на оформление квоты на выбросы парниковых газов на соответствующую установку (установки) в соответствии с порядком, </w:t>
      </w:r>
      <w:r>
        <w:rPr>
          <w:rFonts w:ascii="Times New Roman"/>
          <w:b w:val="false"/>
          <w:i w:val="false"/>
          <w:color w:val="000000"/>
          <w:sz w:val="28"/>
        </w:rPr>
        <w:t>определяемым</w:t>
      </w:r>
      <w:r>
        <w:rPr>
          <w:rFonts w:ascii="Times New Roman"/>
          <w:b w:val="false"/>
          <w:i w:val="false"/>
          <w:color w:val="000000"/>
          <w:sz w:val="28"/>
        </w:rPr>
        <w:t xml:space="preserve"> Правительством Республики Казахстан, начиная с текущего года.</w:t>
      </w:r>
      <w:r>
        <w:br/>
      </w:r>
      <w:r>
        <w:rPr>
          <w:rFonts w:ascii="Times New Roman"/>
          <w:b w:val="false"/>
          <w:i w:val="false"/>
          <w:color w:val="000000"/>
          <w:sz w:val="28"/>
        </w:rPr>
        <w:t>
</w:t>
      </w:r>
      <w:r>
        <w:rPr>
          <w:rFonts w:ascii="Times New Roman"/>
          <w:b w:val="false"/>
          <w:i w:val="false"/>
          <w:color w:val="000000"/>
          <w:sz w:val="28"/>
        </w:rPr>
        <w:t>
      9. Юридические лица, объемы выбросов парниковых газов которых подпадают под </w:t>
      </w:r>
      <w:r>
        <w:rPr>
          <w:rFonts w:ascii="Times New Roman"/>
          <w:b w:val="false"/>
          <w:i w:val="false"/>
          <w:color w:val="000000"/>
          <w:sz w:val="28"/>
        </w:rPr>
        <w:t>требования</w:t>
      </w:r>
      <w:r>
        <w:rPr>
          <w:rFonts w:ascii="Times New Roman"/>
          <w:b w:val="false"/>
          <w:i w:val="false"/>
          <w:color w:val="000000"/>
          <w:sz w:val="28"/>
        </w:rPr>
        <w:t xml:space="preserve"> по квотированию, теряют право на реализацию проектов внутреннего сокращения выбросов парниковых газов по подлежащей квотированию установке (установкам). Ранее реализованные мероприятия по сокращению выбросов парниковых газов по подлежащей под квотирование установке учитываются уполномоченным органом в области охраны окружающей среды при определении квоты на выбросы парниковых газов по соответствующей установке.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