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ff823" w14:textId="0fff8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23 июня 2011 года № 699 "Об одобрении основных направлений социально-экономической политики по обеспечению семипроцентного роста экономики в 2011 - 2015 годах"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мая 2012 года № 617. Утратило силу постановлением Правительства Республики Казахстан от 5 июня 2015 года № 414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05.06.2015 </w:t>
      </w:r>
      <w:r>
        <w:rPr>
          <w:rFonts w:ascii="Times New Roman"/>
          <w:b w:val="false"/>
          <w:i w:val="false"/>
          <w:color w:val="ff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июня 2011 года № 699 «Об одобрении основных направлений социально-экономической политики по обеспечению семипроцентного роста экономики в 2011 - 2015 годах»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основных направлениях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социально-экономической политики по обеспечению семипроцентного роста экономики в 2011 - 2015 годах, одобренных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1</w:t>
      </w:r>
      <w:r>
        <w:rPr>
          <w:rFonts w:ascii="Times New Roman"/>
          <w:b w:val="false"/>
          <w:i w:val="false"/>
          <w:color w:val="000000"/>
          <w:sz w:val="28"/>
        </w:rPr>
        <w:t>. «Внутренние и внешние факторы развития»: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таблицу</w:t>
      </w:r>
      <w:r>
        <w:rPr>
          <w:rFonts w:ascii="Times New Roman"/>
          <w:b w:val="false"/>
          <w:i w:val="false"/>
          <w:color w:val="000000"/>
          <w:sz w:val="28"/>
        </w:rPr>
        <w:t xml:space="preserve"> «Прогнозы по мировой цене на нефть, долл. США/баррель в среднем за год» изложить в следующей редакции: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«Прогнозы по мировой цене на нефть, долл. США/баррель</w:t>
      </w:r>
      <w:r>
        <w:br/>
      </w:r>
      <w:r>
        <w:rPr>
          <w:rFonts w:ascii="Times New Roman"/>
          <w:b/>
          <w:i w:val="false"/>
          <w:color w:val="000000"/>
        </w:rPr>
        <w:t>
в среднем за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5"/>
        <w:gridCol w:w="1351"/>
        <w:gridCol w:w="1351"/>
        <w:gridCol w:w="1351"/>
        <w:gridCol w:w="1351"/>
        <w:gridCol w:w="1351"/>
        <w:gridCol w:w="1730"/>
      </w:tblGrid>
      <w:tr>
        <w:trPr>
          <w:trHeight w:val="30" w:hRule="atLeast"/>
        </w:trPr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Компания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</w:t>
            </w:r>
          </w:p>
        </w:tc>
      </w:tr>
      <w:tr>
        <w:trPr>
          <w:trHeight w:val="30" w:hRule="atLeast"/>
        </w:trPr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ANZ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110.7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117.6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119.8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109.6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102.1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07.10.11</w:t>
            </w:r>
          </w:p>
        </w:tc>
      </w:tr>
      <w:tr>
        <w:trPr>
          <w:trHeight w:val="30" w:hRule="atLeast"/>
        </w:trPr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BNP Paribas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18.11.11</w:t>
            </w:r>
          </w:p>
        </w:tc>
      </w:tr>
      <w:tr>
        <w:trPr>
          <w:trHeight w:val="30" w:hRule="atLeast"/>
        </w:trPr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Barclays Capital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135.0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25.11.11</w:t>
            </w:r>
          </w:p>
        </w:tc>
      </w:tr>
      <w:tr>
        <w:trPr>
          <w:trHeight w:val="30" w:hRule="atLeast"/>
        </w:trPr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Citigroup Investment Research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111.4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86.95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12.11.11</w:t>
            </w:r>
          </w:p>
        </w:tc>
      </w:tr>
      <w:tr>
        <w:trPr>
          <w:trHeight w:val="30" w:hRule="atLeast"/>
        </w:trPr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Commerzbank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11.11.11</w:t>
            </w:r>
          </w:p>
        </w:tc>
      </w:tr>
      <w:tr>
        <w:trPr>
          <w:trHeight w:val="30" w:hRule="atLeast"/>
        </w:trPr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Deutsche Bank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111.15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125.0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02.12.11</w:t>
            </w:r>
          </w:p>
        </w:tc>
      </w:tr>
      <w:tr>
        <w:trPr>
          <w:trHeight w:val="30" w:hRule="atLeast"/>
        </w:trPr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Economist Intelligence Unit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97.5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104.0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14.12.11</w:t>
            </w:r>
          </w:p>
        </w:tc>
      </w:tr>
      <w:tr>
        <w:trPr>
          <w:trHeight w:val="30" w:hRule="atLeast"/>
        </w:trPr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HSBC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31.05.11</w:t>
            </w:r>
          </w:p>
        </w:tc>
      </w:tr>
      <w:tr>
        <w:trPr>
          <w:trHeight w:val="30" w:hRule="atLeast"/>
        </w:trPr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ING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107.5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01.04.11</w:t>
            </w:r>
          </w:p>
        </w:tc>
      </w:tr>
      <w:tr>
        <w:trPr>
          <w:trHeight w:val="30" w:hRule="atLeast"/>
        </w:trPr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JP Morgan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111.93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112.24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109.89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106.73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03.06.11</w:t>
            </w:r>
          </w:p>
        </w:tc>
      </w:tr>
      <w:tr>
        <w:trPr>
          <w:trHeight w:val="30" w:hRule="atLeast"/>
        </w:trPr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Lloyds TSB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111.4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106.8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05.10.11</w:t>
            </w:r>
          </w:p>
        </w:tc>
      </w:tr>
      <w:tr>
        <w:trPr>
          <w:trHeight w:val="30" w:hRule="atLeast"/>
        </w:trPr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Morgan Stanley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29.11.11</w:t>
            </w:r>
          </w:p>
        </w:tc>
      </w:tr>
      <w:tr>
        <w:trPr>
          <w:trHeight w:val="30" w:hRule="atLeast"/>
        </w:trPr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Raiffeisen RESEARCH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130.0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13.10.11</w:t>
            </w:r>
          </w:p>
        </w:tc>
      </w:tr>
      <w:tr>
        <w:trPr>
          <w:trHeight w:val="30" w:hRule="atLeast"/>
        </w:trPr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Royal Bank of Scotland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15.09.11</w:t>
            </w:r>
          </w:p>
        </w:tc>
      </w:tr>
      <w:tr>
        <w:trPr>
          <w:trHeight w:val="30" w:hRule="atLeast"/>
        </w:trPr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Rye, Man &amp; Gor Securities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108.0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12.12.11</w:t>
            </w:r>
          </w:p>
        </w:tc>
      </w:tr>
      <w:tr>
        <w:trPr>
          <w:trHeight w:val="30" w:hRule="atLeast"/>
        </w:trPr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Scotia Capital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01.12.11</w:t>
            </w:r>
          </w:p>
        </w:tc>
      </w:tr>
      <w:tr>
        <w:trPr>
          <w:trHeight w:val="30" w:hRule="atLeast"/>
        </w:trPr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Societe Gencrale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107.8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126.0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22.11.11</w:t>
            </w:r>
          </w:p>
        </w:tc>
      </w:tr>
      <w:tr>
        <w:trPr>
          <w:trHeight w:val="30" w:hRule="atLeast"/>
        </w:trPr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Standard Bank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10.11.11</w:t>
            </w:r>
          </w:p>
        </w:tc>
      </w:tr>
      <w:tr>
        <w:trPr>
          <w:trHeight w:val="30" w:hRule="atLeast"/>
        </w:trPr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TD Securities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16.12.11</w:t>
            </w:r>
          </w:p>
        </w:tc>
      </w:tr>
      <w:tr>
        <w:trPr>
          <w:trHeight w:val="30" w:hRule="atLeast"/>
        </w:trPr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ВТБ Капитал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05.10.11</w:t>
            </w:r>
          </w:p>
        </w:tc>
      </w:tr>
      <w:tr>
        <w:trPr>
          <w:trHeight w:val="30" w:hRule="atLeast"/>
        </w:trPr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ЮниКредит Секьюритиз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120.0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12.12.11</w:t>
            </w:r>
          </w:p>
        </w:tc>
      </w:tr>
      <w:tr>
        <w:trPr>
          <w:trHeight w:val="30" w:hRule="atLeast"/>
        </w:trPr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Консенсус-прогноз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110.22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105.22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106.35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103.94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102.29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2</w:t>
      </w:r>
      <w:r>
        <w:rPr>
          <w:rFonts w:ascii="Times New Roman"/>
          <w:b w:val="false"/>
          <w:i w:val="false"/>
          <w:color w:val="000000"/>
          <w:sz w:val="28"/>
        </w:rPr>
        <w:t>. «Индикативные показатели семипроцентного роста экономического роста»: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часть третью</w:t>
      </w:r>
      <w:r>
        <w:rPr>
          <w:rFonts w:ascii="Times New Roman"/>
          <w:b w:val="false"/>
          <w:i w:val="false"/>
          <w:color w:val="000000"/>
          <w:sz w:val="28"/>
        </w:rPr>
        <w:t> 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 этом индикаторы отраслевых программ были скорректированы в сторону увеличения с учетом планируемой реализации дополнительных инвестиционных проектов в соответствии с актуализированной </w:t>
      </w:r>
      <w:r>
        <w:rPr>
          <w:rFonts w:ascii="Times New Roman"/>
          <w:b w:val="false"/>
          <w:i w:val="false"/>
          <w:color w:val="000000"/>
          <w:sz w:val="28"/>
        </w:rPr>
        <w:t>Картой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индустриализации (439 проектов) и вводом новых производств.»;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рисунок «ИФО ВВП, % к предыдущему году»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492500" cy="166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»;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пятую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таблицу «План по ИФО производства продукции, услуг в отраслях экономики, в % к предыдущему году» изложить в следующей редакции: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«План по ИФО производства продукции, услуг в отраслях экономики,</w:t>
      </w:r>
      <w:r>
        <w:br/>
      </w:r>
      <w:r>
        <w:rPr>
          <w:rFonts w:ascii="Times New Roman"/>
          <w:b/>
          <w:i w:val="false"/>
          <w:color w:val="000000"/>
        </w:rPr>
        <w:t>
в % к предыдущему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3"/>
        <w:gridCol w:w="1221"/>
        <w:gridCol w:w="1296"/>
        <w:gridCol w:w="1371"/>
        <w:gridCol w:w="1484"/>
        <w:gridCol w:w="1465"/>
      </w:tblGrid>
      <w:tr>
        <w:trPr>
          <w:trHeight w:val="30" w:hRule="atLeast"/>
        </w:trPr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лесное и рыбное хозяйство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126,7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87,0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104,6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105,0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104,9</w:t>
            </w:r>
          </w:p>
        </w:tc>
      </w:tr>
      <w:tr>
        <w:trPr>
          <w:trHeight w:val="30" w:hRule="atLeast"/>
        </w:trPr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103,3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103,9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104,2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104,9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107,1</w:t>
            </w:r>
          </w:p>
        </w:tc>
      </w:tr>
      <w:tr>
        <w:trPr>
          <w:trHeight w:val="30" w:hRule="atLeast"/>
        </w:trPr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Горнодобывающая промышленность и разработка карьеров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101,7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101,6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101,7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107,4</w:t>
            </w:r>
          </w:p>
        </w:tc>
      </w:tr>
      <w:tr>
        <w:trPr>
          <w:trHeight w:val="30" w:hRule="atLeast"/>
        </w:trPr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Обрабатывающая промышленность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107,1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109,1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107,1</w:t>
            </w:r>
          </w:p>
        </w:tc>
      </w:tr>
      <w:tr>
        <w:trPr>
          <w:trHeight w:val="30" w:hRule="atLeast"/>
        </w:trPr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Электроснабжение, подача газа, пара и воздушное кондиционирование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104,4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103,8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104,4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105,6</w:t>
            </w:r>
          </w:p>
        </w:tc>
      </w:tr>
      <w:tr>
        <w:trPr>
          <w:trHeight w:val="30" w:hRule="atLeast"/>
        </w:trPr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102,7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102,9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103,5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103,3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103,6</w:t>
            </w:r>
          </w:p>
        </w:tc>
      </w:tr>
      <w:tr>
        <w:trPr>
          <w:trHeight w:val="30" w:hRule="atLeast"/>
        </w:trPr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Производство услуг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Оптовая и розничная торговля; ремонт автомобилей и мотоциклов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112,7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111,7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111,3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111,5</w:t>
            </w:r>
          </w:p>
        </w:tc>
      </w:tr>
      <w:tr>
        <w:trPr>
          <w:trHeight w:val="30" w:hRule="atLeast"/>
        </w:trPr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складирование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106,8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107,9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107,2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107,1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107,9</w:t>
            </w:r>
          </w:p>
        </w:tc>
      </w:tr>
      <w:tr>
        <w:trPr>
          <w:trHeight w:val="30" w:hRule="atLeast"/>
        </w:trPr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и связь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118,7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108,2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108,7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110,4</w:t>
            </w:r>
          </w:p>
        </w:tc>
      </w:tr>
      <w:tr>
        <w:trPr>
          <w:trHeight w:val="30" w:hRule="atLeast"/>
        </w:trPr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ВВП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107,5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106,0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106,3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106,5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107,7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«Сельское хозяйство и переработка сельскохозяйственной продукции»: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части первую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девятую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«Среднегодовой прирост объема валовой продукции сельского хозяйства в 2011 - 2015 годах должен составить 5,0 - 6,0 %, прирост производства продуктов питания - около 10 % в год за счет форсированной аграрно-индустриальной политики, предусматривающей технико-технологическую модернизацию отрасли.»;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 агропромышленной отрасли запланировано 173 проекта, 159 из которых - в рамках Карты индустриализации, а 14 — по отраслевой программе. Общий запланированный объем инвестиций составляет 244,7 млрд. тенге. ВДС отрасли в 2011 - 2015 годах составит 7 345,3 млрд. тенге. Реальный прирост ВДС отрасли за весь период составит 27,1 %.»;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рисунок «Развитие АПК»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270500" cy="166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»;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«Промышленность»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«Промышленность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Объем промышленной продукции в 2011 - 2015 годах будет расти в среднем на 4,7 %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Рост объемов промышленного производства на 3,3 % в 2011 году и в среднем на 5,0 % в год в 2012 - 2015 годах должен быть обеспечен за счет опережающих темпов роста объемов производства в обрабатывающем секторе.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Среднегодовые темпы роста в металлургической промышленности составят 8,3 %. Развитие металлургии позволит стимулировать потенциал смежных отраслей экономики (машиностроения, химической промышленности и т.д.), наращивать и диверсифицировать внешнюю торговлю.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Среднегодовые темпы роста инвестиций в обрабатывающей промышленности вырастут на 15,2 процентных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Рост в горно-металлургической отрасли должен быть обеспечен за счет увеличения максимальной переработки сырья внутри страны, выхода на базовые металлы и производства продукции высоких переделов, обеспечивающих развитие других отраслей промышленности, таких как машиностроение, строительная индустрия, фармацевтика и т.д.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горно-металлургической отрасли до конца 2015 года запланировано 94 проекта, из них 57 проектов по отраслевой программе, 37 проектов по Карте индустриализации.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Объем инвестиций в проекты горно-металлургической отрасли с 2011 по 2015 годы планируется в объеме 3 019,6 млрд. тенге. ВДС отрасли в 2011 - 2015 годах составит 11 046,8 млрд. тенге. Прирост ВДС отрасли за весь период составит 98,9 %.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3327400" cy="140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274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Рост производства в химической промышленности на 21,5 % в 2011 году и в среднем на 12,9 % в год в 2012 - 2015 годах должен быть обеспечен за счет создания новых конкурентоспособных химических производств, технического перевооружения и модернизации действующих предприятий.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химической промышленности на период с 2011 по 2015 годы намечено 39 проектов, из них 18 планируется реализовать в рамках отраслевой программы, 21 - в рамках </w:t>
      </w:r>
      <w:r>
        <w:rPr>
          <w:rFonts w:ascii="Times New Roman"/>
          <w:b w:val="false"/>
          <w:i w:val="false"/>
          <w:color w:val="000000"/>
          <w:sz w:val="28"/>
        </w:rPr>
        <w:t>Карты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индустриализации. Общий планируемый объем инвестиций в проекты химической отрасли составляет 900,8 млрд. тенге. ВДС отрасли в 2011 - 2015 годах составит 990,3 млрд. тенге. Прирост ВДС отрасли за весь период составит 95,5 %.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048000" cy="166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Объем добычи нефти и газового конденсата по прогнозам увеличится с 79,5 млн. тонн в 2010 году до 95 млн. тонн в 2015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Казахстане существуют реальные перспективы увеличения запасов углеводородов. Поэтому следует уделить больше внимания геологоразведочным работам, так как потенциал недр Казахстана остается по-прежнему высоким.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Общие прогнозные извлекаемые ресурсы углеводородного сырья в Республике Казахстан составляют 17 млрд. тонн, из них 8 млрд. тонн приходится на казахстанский сектор Каспийского моря.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этой связи, основным направлением политики будет широкомасштабное изучение участков недр в акватории Каспийского и Аральского морей.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Вместе с тем, достижение индикаторов и, соответственно, цели планируется через следующие крупные проекты, такие как месторождения Тенгиз, Карачаганак, а также за счет освоения нового месторождения Кашаган.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ведутся поисково-разведочные работы на морских проектах: Курмангазы, Тюб-Караган, Аташ, Жамбай Южный-Южное Забурунье, Жемчужины.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развития нефтегазового сектора до конца 2015 года запланировано 22 крупных проекта, из них 9 будет реализовываться в рамках отраслевой программы, 13 — в рамках </w:t>
      </w:r>
      <w:r>
        <w:rPr>
          <w:rFonts w:ascii="Times New Roman"/>
          <w:b w:val="false"/>
          <w:i w:val="false"/>
          <w:color w:val="000000"/>
          <w:sz w:val="28"/>
        </w:rPr>
        <w:t>Карты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индустриализации. Общий планируемый объем инвестиций по данным проектам составляет 1 379,6 млрд. тенге. ВДС отрасли в 2011 - 2015 годах составит 25 311 млрд. тенге. Прирост ВДС отрасли за весь период составит 64,4 %.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352800" cy="168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»;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«Развитие геологии»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«Развитие геологии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Приоритетной целью экономической политики является обеспечение рационального и комплексного использования и воспроизводства минеральных ресурсов для активного развития отраслей промышленности.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привлечения инвестиций в отрасль недропользования необходимо значительное увеличение объема геологоразведочных работ. Это требует принятия решения о создании государством компании по проведению таких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2007 года в стране действует мораторий на проведение конкурсов на предоставление права недропользования. Развитие инвестиционного климата в сфере недропользования потребует дальнейшей проработанности законодательной базы.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Рост производства в машиностроительной промышленности на 16,8 % в 2011 году и в среднем на 9,6 % в год в 2012 - 2015 годах должен быть обеспечен за счет модернизации действующих предприятий, создания гибких производств по расширению выпускаемого ассортимента и освоения новых видов машиностроительной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машиностроительной отрасли до конца 2015 года запланировано 59 проектов, из них 17 - по отраслевой программе, 42 — по Карте индустриализации.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Общие инвестиции в проекты отрасли с 2011 по 2015 годы планируются в объеме 189,3 млрд. тенге. ВДС отрасли в 2011 - 2015 годах cоставит 2 501,2 млрд. тенге. Прирост ВДС отрасли за весь период составит 68,3 %.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2730500" cy="180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Рост производства в фармацевтической промышленности в среднем на 2,3 % в год в 2011 - 2015 годах должен быть обеспечен за счет повышения производительности труда, значительного расширения ассортимента, модернизации действующих и строительства новых предприятий.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фармацевтической отрасли до конца 2015 года запланировано 34 проекта, из них 13 - по отраслевой программе, 21 - по Карте и индустриализации.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Общие инвестиции в проекты отрасли с 2011 по 2015 годы планируются в объеме 36,8 млрд. тенге. ВДС отрасли в 2011 — 2015 годах составит 78,5 млрд. тенге. Прирост ВДС отрасли за весь период составит 11,5 %.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959100" cy="184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Рост производства в легкой промышленности в среднем на 3,1 % в 2012 — 2015 годах будет обеспечен за счет диверсификации и повышения конкурентоспособности продукции в долгосрочном периоде с усилением ее социальной эффективности.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легкой промышленности до конца 2015 года запланировано 7 проектов по Карте индустриализации.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Общие инвестиции в проекты отрасли с 2011 по 2015 годы планируются в объеме 6,9 млрд. тенге. ВДС отрасли в 2011 - 2015 годах составит 172,0 млрд. тенге. Прирост ВДС отрасли за весь период составит 54,3 %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drawing>
          <wp:inline distT="0" distB="0" distL="0" distR="0">
            <wp:extent cx="2819400" cy="186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Увеличение производства строительных материалов должно быть обеспечено за счет развития производства конкурентоспособных, энергосберегающих, ресурсосберегающих строительных материалов, изделий и конструкций с высокой добавленной стоимостью на индустриально-инновационной основе; комплексного научно-технологического обеспечения индустриально-инновационного развития стройиндустрии и производства строительных материалов.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строительной отрасли запланировано 98 проектов. Общий запланированный объем инвестиций составляет 223,1 млрд. тенге.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882900" cy="172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ВДС отрасли в 2011 - 2015 годах составит 1 188,5 млрд. тенге. Прирост ВДС отрасли за весь период составит 82,1 %.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Целью экономической политики в электроэнергетике будут обеспечение потребностей экономики в электроэнергии и достижение энергетической независимости страны.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Рост производства в отрасли на 2,7 % в 2011 году и в среднем на 3,3 % в год в 2012 - 2015 годах будет обеспечен за счет реализации до конца 2015 года 10 проектов, среди которых: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модернизация Шардаринской ГЭС (2010 - 2015 годы);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Экибастузская ГРЭС-2 (строительство блока № 3). Стоимость реализации проекта - 118,3 млрд. тенге. Мощность 525 МВт. (2010-2014 годы);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строительство Балхашской ТЭС. Стоимость реализации проекта 360,7 млрд. тенге. Мощность I - модуля 1320 МВт (2009 - 2017 годы);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Мойнакская ГЭС. Стоимость реализации проекта 54,1 млрд. тенге. Мощность 300 МВт. (2010 - 2012 годы);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строительство ПС 500 кВ «Алма», присоединение к НЭС Казахстана линиями напряжением 500, 220 кВ (2010-2014 годы).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810000" cy="191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Общие инвестиции в проекты отрасли с 2011 по 2015 годы планируются в объеме 799,3 млрд. тенге. ВДС отрасли в 2011 - 2015 годах составит 3 313,0 млрд. тенге. Прирост ВДС отрасли за весь период составит 28,3 %.»;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«Строительство»: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части первую, третью, пятую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«Росту объемов строительства на 2,7 в 2011 году и в среднем на 3,3 % в 2012 - 2015 годах будет способствовать совершенствование регулирования строительного сектора.»;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отрасли производства строительных материалов и жилищного строительства до конца 2015 года запланировано 98 проектов.»;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«Общие инвестиции в строительство с 2011 по 2015 годы планируются в объеме 10 051,7 млрд. тенге. ВДС отрасли в 2011 - 2015 годах составит 12 063,6 млрд.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рисунок «ИФО строительных работ, % к предыдущему году»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054600" cy="157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546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»;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«Связь»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«Связь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Рост услуг связи и информации на 18,7 % в 2011 году и в среднем на 8,9 % в год в 2012 - 2015 годах будет обеспечен за счет формирования конкурентоспособного экспортоориентированного национального сектора инфокоммуникационных технологий.»;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«Торговля»: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часть первую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«Для обеспечения целевого индикатора развития экономики ежегодный рост торговли должен быть обеспечен на уровне 14,5 % в 2011 году и в среднем на 11,8 % в год в 2012 - 2015 годах. Экономическая политика будет направлена на повышение эффективности внутренней торговли, увеличение производительности труда в торговой сфере через совершенствование торговой инфраструктуры.»;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5</w:t>
      </w:r>
      <w:r>
        <w:rPr>
          <w:rFonts w:ascii="Times New Roman"/>
          <w:b w:val="false"/>
          <w:i w:val="false"/>
          <w:color w:val="000000"/>
          <w:sz w:val="28"/>
        </w:rPr>
        <w:t>. «Обеспечение прогнозных параметров экономического роста топливно-энергетическими ресурсами и инфраструктурой»: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часть первую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«Планируемый ежегодный рост ВВП на 7 % потребует дополнительной выработки электроэнергии в стране к 2015 г. на 18,76 млрд. кВт/час больше относительно 2010 года.»;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рисунок «Оценка потребности в электроэнергии, млрд. кВт/ч» изложить в следующей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016500" cy="189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1650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»;</w:t>
      </w:r>
    </w:p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части третью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четвертую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«Достижение индикативных параметров экономического роста потребует дополнительного объема потребления природного газа 3,4 млрд.куб.м до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Ежегодная дополнительная потребность в природном газе составит 648 млн.куб.м.»;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«Индикативные показатели развития отраслей для обеспечения 7 % экономического роста, ИФО в % к предыдущему году» изложить в следующей редакции: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Индикативные показатели развития отраслей для обеспечения 7 %</w:t>
      </w:r>
      <w:r>
        <w:br/>
      </w:r>
      <w:r>
        <w:rPr>
          <w:rFonts w:ascii="Times New Roman"/>
          <w:b/>
          <w:i w:val="false"/>
          <w:color w:val="000000"/>
        </w:rPr>
        <w:t>
экономического роста, ИФО в % к предыдущему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45"/>
        <w:gridCol w:w="1010"/>
        <w:gridCol w:w="1010"/>
        <w:gridCol w:w="1010"/>
        <w:gridCol w:w="1010"/>
        <w:gridCol w:w="1010"/>
        <w:gridCol w:w="3085"/>
      </w:tblGrid>
      <w:tr>
        <w:trPr>
          <w:trHeight w:val="30" w:hRule="atLeast"/>
        </w:trPr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</w:t>
            </w:r>
          </w:p>
        </w:tc>
      </w:tr>
      <w:tr>
        <w:trPr>
          <w:trHeight w:val="30" w:hRule="atLeast"/>
        </w:trPr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лесное и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126,7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104,6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104,9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</w:tr>
      <w:tr>
        <w:trPr>
          <w:trHeight w:val="30" w:hRule="atLeast"/>
        </w:trPr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Горнодобывающая промышленность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карьеров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угля и лигнита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103,6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101,7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102,6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102,5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</w:tr>
      <w:tr>
        <w:trPr>
          <w:trHeight w:val="30" w:hRule="atLeast"/>
        </w:trPr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сырой нефти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100,6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108,4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</w:tr>
      <w:tr>
        <w:trPr>
          <w:trHeight w:val="30" w:hRule="atLeast"/>
        </w:trPr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природного газа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101,6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109,8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</w:tr>
      <w:tr>
        <w:trPr>
          <w:trHeight w:val="30" w:hRule="atLeast"/>
        </w:trPr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железной руды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101,7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</w:tr>
      <w:tr>
        <w:trPr>
          <w:trHeight w:val="30" w:hRule="atLeast"/>
        </w:trPr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руд цветных металлов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99,9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100,8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</w:tr>
      <w:tr>
        <w:trPr>
          <w:trHeight w:val="30" w:hRule="atLeast"/>
        </w:trPr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Обрабатывающая промышленность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продуктов питания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108,2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</w:tr>
      <w:tr>
        <w:trPr>
          <w:trHeight w:val="30" w:hRule="atLeast"/>
        </w:trPr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напитков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97,5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104,3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</w:tr>
      <w:tr>
        <w:trPr>
          <w:trHeight w:val="30" w:hRule="atLeast"/>
        </w:trPr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Легкая промышленность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90,8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105,9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</w:tr>
      <w:tr>
        <w:trPr>
          <w:trHeight w:val="30" w:hRule="atLeast"/>
        </w:trPr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нефтепереработки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103,9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109,5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</w:tr>
      <w:tr>
        <w:trPr>
          <w:trHeight w:val="30" w:hRule="atLeast"/>
        </w:trPr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химической промышленности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121,5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101,0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</w:tr>
      <w:tr>
        <w:trPr>
          <w:trHeight w:val="30" w:hRule="atLeast"/>
        </w:trPr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фармацевтических продуктов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94,9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99,6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</w:tr>
      <w:tr>
        <w:trPr>
          <w:trHeight w:val="30" w:hRule="atLeast"/>
        </w:trPr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резиновых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пластмассовых изделий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108,9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</w:tr>
      <w:tr>
        <w:trPr>
          <w:trHeight w:val="30" w:hRule="atLeast"/>
        </w:trPr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неметаллической минеральной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112,5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</w:tr>
      <w:tr>
        <w:trPr>
          <w:trHeight w:val="30" w:hRule="atLeast"/>
        </w:trPr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Металлургическая промышленность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106,5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104,9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</w:tr>
      <w:tr>
        <w:trPr>
          <w:trHeight w:val="30" w:hRule="atLeast"/>
        </w:trPr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готовых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металлических изделий,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 и оборудования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</w:tr>
      <w:tr>
        <w:trPr>
          <w:trHeight w:val="30" w:hRule="atLeast"/>
        </w:trPr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Машиностроение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116,8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111,0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</w:tr>
      <w:tr>
        <w:trPr>
          <w:trHeight w:val="30" w:hRule="atLeast"/>
        </w:trPr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Электроснабжение, подача газа,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 и воздушное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кондиционирование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103,8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105,6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</w:tr>
      <w:tr>
        <w:trPr>
          <w:trHeight w:val="30" w:hRule="atLeast"/>
        </w:trPr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102,7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102,9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103,5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103,6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</w:t>
            </w:r>
          </w:p>
        </w:tc>
      </w:tr>
      <w:tr>
        <w:trPr>
          <w:trHeight w:val="30" w:hRule="atLeast"/>
        </w:trPr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Производство услуг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Оптовая и розничная торговля;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автомобилей и мотоциклов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114,5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112,7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111,7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111,5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</w:tr>
      <w:tr>
        <w:trPr>
          <w:trHeight w:val="30" w:hRule="atLeast"/>
        </w:trPr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складирование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106,8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107,9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107,9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</w:tr>
      <w:tr>
        <w:trPr>
          <w:trHeight w:val="30" w:hRule="atLeast"/>
        </w:trPr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и связь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118,7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108,7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110,4</w:t>
            </w:r>
          </w:p>
        </w:tc>
        <w:tc>
          <w:tcPr>
            <w:tcW w:w="3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».</w:t>
      </w:r>
    </w:p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header.xml" Type="http://schemas.openxmlformats.org/officeDocument/2006/relationships/header" Id="rId1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