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499b1" w14:textId="73499b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Программы всеобщего военного обучения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21 мая 2012 года № 650. Утратило силу постановлением Правительства Республики Казахстан от 30 апреля 2016 года № 260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30.04.2016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ff0000"/>
          <w:sz w:val="28"/>
        </w:rPr>
        <w:t xml:space="preserve"> РК от 29.09.2014 г. № 239-V ЗРК по вопросам разграничения полномочий между уровнями государственного управления см.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Министра обороны РК от 15.04.2015 г. № 196.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февраля 2012 года «О воинской службе и статусе военнослужащих»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 </w:t>
      </w:r>
      <w:r>
        <w:rPr>
          <w:rFonts w:ascii="Times New Roman"/>
          <w:b w:val="false"/>
          <w:i w:val="false"/>
          <w:color w:val="000000"/>
          <w:sz w:val="28"/>
        </w:rPr>
        <w:t>Программу</w:t>
      </w:r>
      <w:r>
        <w:rPr>
          <w:rFonts w:ascii="Times New Roman"/>
          <w:b w:val="false"/>
          <w:i w:val="false"/>
          <w:color w:val="000000"/>
          <w:sz w:val="28"/>
        </w:rPr>
        <w:t xml:space="preserve"> всеобщего военного обучения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11 мая 2006 года № 381 «Об утверждении Программы всеобщего военного обучения граждан» (САПП Республики Казахстан, 2006 г., № 17, ст. 161).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21 мая 2012 года № 650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Программа</w:t>
      </w:r>
      <w:r>
        <w:br/>
      </w:r>
      <w:r>
        <w:rPr>
          <w:rFonts w:ascii="Times New Roman"/>
          <w:b/>
          <w:i w:val="false"/>
          <w:color w:val="000000"/>
        </w:rPr>
        <w:t>
      всеобщего военного обучения граждан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Программа всеобщего военного обучения граждан Республики Казахстан (далее - Программа) разработана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всеобщего военного обучения граждан являются привлечение населения к мероприятиям гражданской обороны и подготовка необходимого контингента для комплектования Вооруженных Сил в период введения военного положения.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мероприятиями по всеобщему военному обучению граждан осуществляется Министерством обороны Республики Казахстан через местные органы военного управления.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 всеобщему военному обучению граждан в Республике Казахстан привлекаются: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мужчины – в возрасте от шестнадцати до шестидесяти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женщины, составов солдат (матросов), сержантов (старшин) и офицеров, не имеющие детей или имеющие детей старше десяти лет, – в возрасте от восемнадцати до сорока пяти лет включительно.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Всеобщему военному обучению граждан отводится 25 учебных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Учебные пункты для проведения занятий по всеобщему военному обучению граждан создаются по месту работы, учебы и жительства граждан.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Программа всеобщего военного обучения граждан 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6874"/>
        <w:gridCol w:w="3058"/>
        <w:gridCol w:w="2779"/>
      </w:tblGrid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тематики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Время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проведения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Вводная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Казахстан. Роль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Вооруженных Сил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в обеспечении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Военно-политическая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обстановка в мире на период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введения военного положения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Гражданская оборона</w:t>
            </w:r>
          </w:p>
        </w:tc>
      </w:tr>
      <w:tr>
        <w:trPr>
          <w:trHeight w:val="123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Современные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поражения. Основные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защите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в чрезвычайных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ситуациях. Индивидуальные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коллективные средства защиты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12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Характеристика основных 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болезней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очагов бактериологического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(биологического) поражения.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Понятие о карантине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обсервации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первой медицинской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при ранениях, травмах.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 и способы 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повязок,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кровотечения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защиты. Их классификация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Тактическая подготовка</w:t>
            </w:r>
          </w:p>
        </w:tc>
      </w:tr>
      <w:tr>
        <w:trPr>
          <w:trHeight w:val="16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организации боевых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действий. Огонь в бою.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 огня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солдат в бою.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 в наступлении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Солдат в обороне. Отделение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обороне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Огневая подготовка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часть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стрелкового оружия (АК, ПМ,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РПГ). Разборка и сборка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автомата (пулемета)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Материальная часть ручных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осколочных гранат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и правила стрельбы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огня с места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неподвижным целям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Инженерная подготовка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Инженерное оборудование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маскировка позиций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 одиночных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парных окопов для стрельбы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автомата, пулемета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гранатомета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Общевоинские уставы Вооруженных Сил, других войск и воинских формирований Республики Казахстан</w:t>
            </w:r>
          </w:p>
        </w:tc>
      </w:tr>
      <w:tr>
        <w:trPr>
          <w:trHeight w:val="405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Понятие о общевоинских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уставах Вооруженных Сил,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войск и воинских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формирований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Казахстан. 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общевоинских уставов в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деятельности воинского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коллектива. Общие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военнослужащих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Воинские звания, знаки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различия. Назначение, состав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вооружение суточного наряда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роты. Обязанности суточного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наряда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час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Лекция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Военная топография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Ориентирование на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карты и движение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азимуту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часа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Практическое занятие</w:t>
            </w:r>
          </w:p>
        </w:tc>
      </w:tr>
      <w:tr>
        <w:trPr>
          <w:trHeight w:val="60" w:hRule="atLeast"/>
        </w:trPr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</w:p>
        </w:tc>
        <w:tc>
          <w:tcPr>
            <w:tcW w:w="3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часов</w:t>
            </w:r>
          </w:p>
        </w:tc>
        <w:tc>
          <w:tcPr>
            <w:tcW w:w="2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