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162a" w14:textId="4f81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"Центр коммуникаций" Канцелярии Премьер-Министра Республики Казахстан, выделении средств из резерва Правительства Республики Казахстан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2012 года № 814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2012 - 2014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«Центр коммуникаций» Канцелярии Премьер-Министра Республики Казахстан (далее –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соответствующей отрасли в отношении учреждения Канцелярию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Канцелярии Премьер-Министра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учреждения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Выделить Канцелярии Премьер-Министра Республики Казахстан из резерва Правительства Республики Казахстан, предусмотренного в республиканском бюджете на 2012 год на неотложные затраты, денежные средства в сумме 22009700 (двадцать два миллиона девять тысяч семьсот) тенге для обеспечения деятельности учреждения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19.12.2012 </w:t>
      </w:r>
      <w:r>
        <w:rPr>
          <w:rFonts w:ascii="Times New Roman"/>
          <w:b w:val="false"/>
          <w:i w:val="false"/>
          <w:color w:val="000000"/>
          <w:sz w:val="28"/>
        </w:rPr>
        <w:t>№ 1625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«Вопросы Канцелярии Премьер-Министра Республики Казахстан» (САПП Республики Казахстан, 2002 г., № 29, ст. 327):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прилагаемый лимит штатной численности Канцелярии Премьер-Министра Республики Казахстан с учетом подведомственных ей государственных учреждений в количестве 987 единиц.»;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Канцелярии Премьер-Министра Республики Казахстан, утвержденный указанным постановлением,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Республиканское государственное учреждение «Центр коммуникаций»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Канцелярии Премьер-Министра Республики Казахстан с учетом численности подведомственных ей государственных учреждений, утвержденный указанным постановлением,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2012 года № 814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2002 года № 993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</w:t>
      </w:r>
      <w:r>
        <w:br/>
      </w:r>
      <w:r>
        <w:rPr>
          <w:rFonts w:ascii="Times New Roman"/>
          <w:b/>
          <w:i w:val="false"/>
          <w:color w:val="000000"/>
        </w:rPr>
        <w:t>
штатной численности Канцелярии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с учетом численности подведомственных 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9"/>
        <w:gridCol w:w="2996"/>
      </w:tblGrid>
      <w:tr>
        <w:trPr>
          <w:trHeight w:val="30" w:hRule="atLeast"/>
        </w:trPr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</w:p>
        </w:tc>
      </w:tr>
      <w:tr>
        <w:trPr>
          <w:trHeight w:val="30" w:hRule="atLeast"/>
        </w:trPr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учетом подведомственных 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в том числе: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Многофункциональное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научно-аналитическое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гуманитарно-просветительское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фельдъегерская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Центр технической защиты информации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Центр 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Центр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