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e037" w14:textId="430e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действий по развитию функциональной грамотности школьников на 2012 - 2016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2012 года № 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2012 года № 261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27 января 2012 года «Социально-экономическая модернизация – главный вектор развития Казахстана»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развитию функциональной грамотности школьников на 2012 - 2016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2012 года № 832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Национальный план</w:t>
      </w:r>
      <w:r>
        <w:br/>
      </w:r>
      <w:r>
        <w:rPr>
          <w:rFonts w:ascii="Times New Roman"/>
          <w:b/>
          <w:i w:val="false"/>
          <w:color w:val="000000"/>
        </w:rPr>
        <w:t>
действий по развитию функциональной грамотности</w:t>
      </w:r>
      <w:r>
        <w:br/>
      </w:r>
      <w:r>
        <w:rPr>
          <w:rFonts w:ascii="Times New Roman"/>
          <w:b/>
          <w:i w:val="false"/>
          <w:color w:val="000000"/>
        </w:rPr>
        <w:t>
школьников на 2012 – 2016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Главой государства Н. Назарбаевым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от 27 января 2012 года «Социально-экономическая модернизация – главный вектор развития Казахстана» поставлена конкретная задача по принятию пятилетнего Национального плана действий по развитию функциональной грамотности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задача актуализируется в процессе вхождения Казахстана в число 50-ти наиболее конкурентоспособных стран мира. В условиях решения этой стратегически важной для страны задачи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ориентиры развития функциональной грамотности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2011 - 2020 годы, одной из целей которой являются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и социальную адаптацию в быстро меняющемся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Национальный план действий по развитию функциональной грамотности школьников на 2012 - 2016 годы (далее - Национальный план) включает комплекс мероприятий по содержательному, учебно-методическому, материально-техническому обеспечению процесса развития функциональной грамотности школьников. Национальный план призван обеспечить целенаправленность, целостность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Цель и задачи Национального плана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Национального плана - создать условия для развития функциональной грамотности школьников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 Национального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Изучение отечественной и международной практики развития функциональной грамотности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механизмов реализации системы мер по развитию функциональной грамотности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модернизации содержания образования: стандартов, учебных планов и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Разработка учебно-методического обеспечения образовательного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Развитие системы оценки и мониторинга качества образования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Укрепление материально-технической базы школ и организаций системы дополнительного образования.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по развитию 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грамотности школьников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«функциональная грамотность» впервые появилось в конце 60-х годов прошлого века в документах ЮНЕСКО и позднее вошло в обиход исследователей. Функциональная грамотность в наиболее широком определении выступает как способ социальной ориентации личности, интегрирующий связь образования (в первую очередь общего) с многоплановой человеческой деятельностью. В современном, быстро меняющемся мире, функциональная грамотность становится одним из базовых факторов, способствующих активному участию людей в социальной, культурной, политической и экономической деятельности, а также обучению на протяжении всей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наиболее известных международных оценочных исследований, основанных на концепции функциональной грамотности, является Международная программа оценки учебных достижений 15-летних учащихся (ProgramforInternationalStudentAssessment - PISA), проводимой под эгидой Организации экономического сотрудничества и развития (ОЭСР). PISA оценивает способности 15-летних подростков использовать знания, умения и навыки, приобретенные в школе,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PISA на сегодня рассматривается в мире как универсальный инструмент сравнительной оценки эффективности школьного образования. Данные, полученные в ходе исследования, служат основой для определения стратегий развития системы образования как с точки зрения содержания и методов обучения в целом, так и с точки зрения воздействия контекстных факторов (модель управления, язык обучения, социальный статус семьи и др.) на уровень развития функциональной грамотности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тестирования в рамках PISA оцениваются три области функциональной грамотности: грамотность в чтении, математическая и естественнонаучная грамотность. Исследование проводится циклически (раз в три года). В каждом цикле особое внимание уделяется какому-то одному типу функциональной грамотности. В фокусе программы PISA в 2009 году была читательская грамотность.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Казахстан впервые принял участие в исследовании PISA.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свидетельствуют, что доля казахстанских школьников, готовых: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адекватно использовать более или менее сложные учебные тексты и с их помощью ориентироваться в повседневных ситуациях, составляет 5 % от числа участников исследования грамотности чтения (средний показатель по странам ОЭСР - 28,6 %);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 работать с конкретными моделями для конкретной ситуации, развивать и интегрировать разные задания, составляет 4,2 % от числа участников исследования математической грамотности (средний показатель по странам ОЭСР – 16 % участников);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непосредственно к аспектам жизненных ситуаций, составляет 3,6 % от числа участников исследования естественнонаучной грамотности (средний показатель по странам ОЭСР – 20,5 %).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в исследовании TIMSS казахстанские школьники демонстрируют высокие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результаты участия Казахстана в PISA и TIMSS показывают, что педагоги общеобразовательных школ республики дают сильные предметные знания, но не учат применять их в реальных, жизненных ситуациях.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Механизмы развития функциональной грамотности школьников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показывают результаты стран, стабильно лидирующих в исследовании PISA (Австралия, Финляндия, Япония, Новая Зеландия, Италия, Южная Корея и др.), на развитие функциональной грамотности учащихся влияют следующие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образования (национальные стандарты, учебные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и методы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система диагностики и оценки учебных достижений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внешкольного,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модель управления школой (общественно-государственная форма, высокий уровень автономии школ в регулировании учебного плана);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дружелюбной образовательной среды, основанной на принципах партнерства со всеми заинтересованными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активная роль родителей в процессе обучения и воспитания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Предлагаемые ниже механизмы развития функциональной грамотности казахстанских школьников определены с учетом означенных выше факторов.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Обновление стандартов образования,</w:t>
      </w:r>
      <w:r>
        <w:br/>
      </w:r>
      <w:r>
        <w:rPr>
          <w:rFonts w:ascii="Times New Roman"/>
          <w:b/>
          <w:i w:val="false"/>
          <w:color w:val="000000"/>
        </w:rPr>
        <w:t>
учебных программ и планов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обновления Государственного общеобязательного стандарта образования (ГОСО) как ныне действующей 11-летней, так и 12-летней школы развитие функциональной грамотности школьников определяется как одна из приоритетных целей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в процессе социальной адаптации. Ключевые компетенции – это требование государства к качеству личности выпускника средней школы в виде результатов образования, заявленные в ГОСО и учебных программах.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Выделяются следующие ключевые компетенции выпускника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Управленческие (способность к разрешению проблем).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(способность к самостоятельной познавательной деятельности или умение учиться на протяжении всей жизни).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Коммуникативные (способность к устной, письменной, продуктивной коммуникации на казахском, русском и английском (иностранном) языках).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(способность к социальному взаимодействию).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Личностные (способность к самоорганизации, самосовершенствованию, жизненному и профессиональному самоопределению, самореализации, быть толерантным).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Гражданские (способность нести ответственность за свою родину на основе казахстанского самосознания и культурной идентичности).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(способность к использованию технологий, в том числе научных, цифровых на уровне эффективного пользователя).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ключевых компетенций в рамках отдельных предметных областей выделяются предметные компетенции: освоенные специфические знания, умения, навыки в рамках учебного предмета.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и предметные компетенции как результаты образования должны быть конкретными, измеримыми, достижимыми, реалистичными и определенными по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Учебные программы также будут сориентированы на развитие функциональной грамотности школьников и достижение ключевых и предметных компетенций.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опыта успешных в PISA стран (Южная Корея, Япония, Китай: Гонконг и др.) будет обеспечен адекватный уровень автономии школ в регулировании учебного плана за счет определения оптимальной пропорции между инвариантной (обязательной) и вариативной (по выбору школы) частями плана. Учебные планы будут предусматривать выделение необходимого количества учебных часов для обучения чтению, математике и формирования естественнонаучной, информационной, языковой грамотности.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Обновление форм, методов и технологий обучения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форм и методов обучения будет обеспечиваться за счет трансляции инновационного опыта Назарбаев Интеллектуальных школ (НИШ) в общеобразовательные школы страны и использования современных образовательных технологий, вызывающих у ребенка интерес к учебе.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Будут внедрены эффективные формы и методы обучения для того, чтобы сформировать основы логического, критического и конструктивного мышления, обеспечивающего успешность достижения образовательных результатов, умение применять полученные знания в учебной и практической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обновлено содержание и реализованы программы повышения квалификации и переподготовка педагогических кадров на базе высших учебных заведений, центров педагогического мастерства АОО «Назарбаев Интеллектуальные школы» и региональных центров повышения квалификации Национального центра повышения квалификации «Өрлеу».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система диагностики профессионально-личностной компетентности учителя. Будет поддерживаться использование учителем инновационных методов обучения, современных образовательных и информационно-коммуникационных технологий. Учителям и ученикам будет предоставлен доступ к урокам лучших преподавателей с использованием технологий дистанционного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технологий, цифровой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будет устранена перегруженность учащихся избыточными абстрактно-теоретическими знаниями и заданиями, что позволит сделать процесс обучения более гибким и практико-ориентированным.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обновление форм и методов обучения будет способствовать установлению партнерских и дружелюбных отношений между учителем и учениками.</w:t>
      </w:r>
    </w:p>
    <w:bookmarkEnd w:id="14"/>
    <w:bookmarkStart w:name="z6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системы оценки результатов обучения школьников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развития функциональной грамотности школьников определяет внедрение новой системы оценки, учитывающей результативность всех видов учебной деятельности, процессуальную сторону усвоения учебного материала и проявление индивидуальных и личностных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Внешняя оценка будет осуществляться по завершению каждого уровня на соответствие учебных достижений обучающихся заявленным результатам (ЕНТ, ВОУД и др.), а также посредством участия в международных исследованиях (TIMSS, PISA и PIRLS).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оценка будет осуществляться через диагностику качества обучения по учебному предмету для установления реальных личностных достижений и соответствия критериям ГОСО (промежуточная и итоговая оценка).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Самооценка обучающихся будет осуществляться через оценку собственных достижений для самоорганизации и саморазвития (портфолио для самооценивания и учета достижений обучающихся).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внедрена критериальная система оценки соответствия учебных достижений обучающегося заявленным результатам (критериям), установленным в ГОСО. Оценке подлежат все заявленные в ГОСО и учебных программах образовательные результаты, в том числе ключевые и предметные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обеспечат оценку динамики развития функциональной грамотности обучающегося, успешности школьников, учителей и школ, а также эффективность мероприятий по обновлению стандартов, учебных программ и учебников.</w:t>
      </w:r>
    </w:p>
    <w:bookmarkEnd w:id="16"/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Обеспечение активного участия родителей в образовании и</w:t>
      </w:r>
      <w:r>
        <w:br/>
      </w:r>
      <w:r>
        <w:rPr>
          <w:rFonts w:ascii="Times New Roman"/>
          <w:b/>
          <w:i w:val="false"/>
          <w:color w:val="000000"/>
        </w:rPr>
        <w:t>
воспитании детей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с раннего детства призвана заложить в ребенка нравственные ценности, ориентиры на построение разумного и продуктивного образа жизни. Исследование PISA-2009 также демонстрирует, что на уровень функциональной грамотности положительно влияет участие родителей в процессе обучения и развития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этого, будет разработана методология повышения функциональной грамотности родителей, позволяющая им лучше узнать ребенка, увидеть его в разных ситуациях, помочь взрослым в понимании индивидуальных особенностей детей, развитии их способностей, формировании жизненных ценностных ориентиров, преодолении негативных поступков и проявлений в поведении.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система мероприятий, направленных на активное включение родителей в жизнь школы: создание попечительских советов, ассоциаций родителей, родительских университетов. Данные общественные институты позволят установить партнерские отношения с семьей каждого обучающегося, создать атмосферу взаимоподдержки и общности интересов семьи и школы. При этом будет обеспечен адекватный уровень подотчетности школ и представления полной и открытой информации сообществу об учебных достижениях учащихся и деятельности школы.</w:t>
      </w:r>
    </w:p>
    <w:bookmarkEnd w:id="18"/>
    <w:bookmarkStart w:name="z7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дополнительного образования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факторам, влияющим на достижение образовательных результатов, страны-лидеры PISA относят охват учащихся дополнительным образованием и внешкольными занятиями.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обновлено содержание дополнительного образования, внедрены новые технологии обучения и интерактивные, инновационные организационные формы через создание детских интерактивных парков (наукограды), технопарков, детских научных музеев. Для организации качественного профильного обучения действующие станции юных техников, натуралистов, туристов будут оснащены современной интерактивной техникой, оборудованием и технологиями.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увеличен охват детей дополнительным образованием за счет расширения сети кружков, секций по различным направлениям в общеобразовательной школе и внешкольных организациях. Особое внимание будет уделено научно-исследовательским проектам, техническому творчеству, изобретательству, моделированию, нанотехнологиям, робототехнике и легопроектированию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обеспечена интеграция деятельности организаций дополнительного образования и общеобразовательных школ для обеспечения достижения образовательных результатов (функциональной грамотности) с учетом склонностей, удовлетворения потребностей, интересов, развития способностей личности. В целом интеграция будет способствовать профессиональному самоопределению личности и формированию у учащихся потребности в творческой и 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повышена социальная значимость организаций дополнительного образования с вовлечением в них учащихся из социально незащищенных семей и детей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системе образования Республики Казахстан предстоит предпринять ряд действенных мер по обновлению содержания образования, созданию учебных программ, учебников, пересмотру программ повышения квалификации и переподготовки учителей, мониторингу способности учащихся применять полученные знания в учебных и практических ситуациях, а также обеспечить адекватные материально-технические, психолого-педагогические и технологические условия обучения школьников.</w:t>
      </w:r>
    </w:p>
    <w:bookmarkEnd w:id="20"/>
    <w:bookmarkStart w:name="z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Ожидаемые результаты от реализации Национального плана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Национального плана позволит обеспечить общую координацию деятельности государственных органов, профессионального сообщества, неправительственных организаций, родителей по развитию функциональной грамотности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исполнителями Национального плана являются Министерство образования и науки Республики Казахстан, подведомственные организации, АОО Назарбаев Интеллектуальные школы,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выполнения Национального плана к 2017 году будут созданы следующие условия для развития функциональной грамотности казахстанских школьников: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Научно-исследовательское обеспечение: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определены научно-методологические основы формирования и развития функциональной грамотности, системы управления школой в парадигме компетентностного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обеспечено научно-исследовательское, экспертно-аналитическое сопровождение мероприятий, направленных на формирование и развитие функциональной грамотности;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обеспечена диагностика смысложизненных ориентаций школьников, роли родителей в формировании функциональной грамотности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Обновление содержания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стандарты и учебные программы обеспечивают содержание образования, ориентированного на функциональную грамотность и компетентностный подход;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учебные планы поддерживают вариативность образования, обеспечивающего личное саморазвитие, самостоятельность в приобретении знаний, формирующего коммуникативные навыки, умения использовать информацию и технологии, решать проблемы, предприимчивость и креативность.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Учебно-методическое обеспечение: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разработаны практико-ориентированые учебники;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обновлены, активно внедряются в педагогическую практику современные технологии и подходы к обучению школьников, обеспечивающие его личностную ориентацию, дифференциацию, практическую направленность, активный развивающий и системно-деятельностный характер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повышен уровень информатизации и использования информационно-коммуникационных технологий в обучении школьников;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обновлены содержание и формы социального взаимодействия школы, семьи и общества, обеспечивающего комплексность и единство требований и подходов к развитию функциональной грамотности школьников;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обеспечена престижность дополнительного образования, способствующего профессиональному становлению личности. Дополнительным образованием охвачены 50 %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повышена функциональная грамотность родителей, проявляющаяся в первоочередном внимании и активности родителей в наилучшем обеспечении образовательных и личностных интересов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Система оценки и мониторинга качества образования школьников: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проведены независимые мониторинговые исследования результатов образования, внедрена система критериального оценивания, самооценки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выработаны рекомендации по дальнейшему совершенствованию стандартов, учебных программ и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сформирована база тестовых заданий, ориентированных на выявление уровня компетенций обучающихся, с включением письменных заданий;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достигнуты 50-55 позиции в международных программах по оценке образовательных достижений учащихся (PISA) и 10-15 позиции по оценке математической и естественнонаучной грамотности учащихся 4-х и 8-х классов (TIMSS).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Материально-техническая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обновлена и укреплена материально-техническая база школ для обеспечения реализации стандартов содержания образования и программ внеурочной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решены вопросы оснащенности современным оборудованием организаций дополнительного образования для решения задачи интеграции с базовым школьным образованием и развития содержания дополнительного образования детей по основным направлениям: художественно-эстетическому, научно-техническому, эколого-биологическому, туристско-краеведческому, образовательно-оздоровительному и другим.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системная и последовательная реализация Национального плана позволит повысить конкурентоспособность национальной системы образования Казахстана в контексте общемировых тенденций и требований к содержанию образования XXI века и развитию функциональной грамотности.</w:t>
      </w:r>
    </w:p>
    <w:bookmarkEnd w:id="22"/>
    <w:bookmarkStart w:name="z1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Необходимые финансовые ресурсы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мероприятий Национального плана из государственного бюджета составляет 24,6* млрд. тенге, в том числе из республиканского – 22,7 млрд.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2012 году – 1,3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2013 году – 6,6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2014 году – 4,6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2015 году – 5,7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2016 году – 4,5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Национального плана из местного бюджета будет осуществляться в пределах средств, выделяемых ежегодно из соответствующих местных бюджетов на развитие системы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Объемы финансирования Национального плана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Казахстан.</w:t>
      </w:r>
    </w:p>
    <w:bookmarkEnd w:id="24"/>
    <w:bookmarkStart w:name="z11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План мероприятий по созданию условий для развития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грамотности школьников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710"/>
        <w:gridCol w:w="2520"/>
        <w:gridCol w:w="1684"/>
        <w:gridCol w:w="1267"/>
        <w:gridCol w:w="1977"/>
        <w:gridCol w:w="2020"/>
      </w:tblGrid>
      <w:tr>
        <w:trPr>
          <w:trHeight w:val="14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1.Научно-исследовательское обеспечение</w:t>
            </w:r>
          </w:p>
        </w:tc>
      </w:tr>
      <w:tr>
        <w:trPr>
          <w:trHeight w:val="15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 образования"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«Школа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ХХI века: проблемы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"Мониторинг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Содержание образования: стандарты, учебные планы, программы</w:t>
            </w:r>
          </w:p>
        </w:tc>
      </w:tr>
      <w:tr>
        <w:trPr>
          <w:trHeight w:val="12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мирового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11-летней школы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3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поправок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 «Основные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с переходом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12-летнее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3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12-летней школы,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для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обучением на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«Бейіндікмектеп»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(11-12 классы)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учителей).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опыта НИШ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страны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НИШ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4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развивающего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критического мышления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чтение и письмо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НПО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4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Учебно-методическое обеспечение образовательного процесса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урока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нацеленного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УМК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опыта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3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УМК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критериями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 учащихся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юных натуралистов,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техников и др.)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профильной школы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4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"Изучаем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столицу нашей Родины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Астану"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«фондов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всеобуча»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родителей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9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телеканале «Білім»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телепередач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9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эколого-биологических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«Темірқазық»,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«Экоәлем»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9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научно-познава-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сайта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www.ziyatker.kz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Система оценки и мониторинга качества образования школьников</w:t>
            </w:r>
          </w:p>
        </w:tc>
      </w:tr>
      <w:tr>
        <w:trPr>
          <w:trHeight w:val="19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«Оценка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6-х, 10-х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Казахстана"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«Оценка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9-х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Казахстана»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4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(ВОУД),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7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тестовых заданий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(9-10 классы)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7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профориентационной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склонностей 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«Оценка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родителей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Материально-техническая база школ и организаций системы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универсальными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комплектом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3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структуре Дворца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г.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3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структуре дворцов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Жанаозен, Шымкент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0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167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творчества,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юных техников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«Робототехника»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18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юных натуралистов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станций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тренажерными залами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в г.г.Астане,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ЮКО,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областях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4 678,8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49"/>
        <w:gridCol w:w="11811"/>
      </w:tblGrid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НИШ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автономная организация образования «Назарбаев Интеллектуальные школы»</w:t>
            </w:r>
          </w:p>
        </w:tc>
      </w:tr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государственные общеобязательные стандарты образования</w:t>
            </w:r>
          </w:p>
        </w:tc>
      </w:tr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НИШ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Южно-Казахстанская область</w:t>
            </w:r>
          </w:p>
        </w:tc>
      </w:tr>
      <w:tr>
        <w:trPr>
          <w:trHeight w:val="315" w:hRule="atLeast"/>
        </w:trPr>
        <w:tc>
          <w:tcPr>
            <w:tcW w:w="2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УМК</w:t>
            </w:r>
          </w:p>
        </w:tc>
        <w:tc>
          <w:tcPr>
            <w:tcW w:w="11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учебно-методический комплекс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