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13e93" w14:textId="fe13e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и утверждения норм потребления товарного и сжиженного нефтяного газа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июля 2012 года № 927. Утратило силу постановлением Правительства Республики Казахстан от 26 октября 2018 года № 688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26.10.2018 </w:t>
      </w:r>
      <w:r>
        <w:rPr>
          <w:rFonts w:ascii="Times New Roman"/>
          <w:b w:val="false"/>
          <w:i w:val="false"/>
          <w:color w:val="ff0000"/>
          <w:sz w:val="28"/>
        </w:rPr>
        <w:t>№ 688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9 января 2012 года "О газе и газоснабжении"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и утверждения норм потребления товарного и сжиженного нефтяного газа.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2012 года № 927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расчета и утверждения норм потребления товарного и сжиженного</w:t>
      </w:r>
      <w:r>
        <w:br/>
      </w:r>
      <w:r>
        <w:rPr>
          <w:rFonts w:ascii="Times New Roman"/>
          <w:b/>
          <w:i w:val="false"/>
          <w:color w:val="000000"/>
        </w:rPr>
        <w:t>нефтяного газа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расчета и утверждения норм потребления товарного и сжиженного нефтяного газа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2012 года "О газе и газоснабжении" (далее - Закон) и определяют порядок расчета и утверждения норм потребления товарного и сжиженного нефтяного газа при отсутствии приборов учета газа.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единица измерения - показатель норматива потребления товарного и сжиженного нефтяного газа;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конструктивные и технические параметры многоквартирного дома или индивидуального жилого дома - показатели, влияющие на объем (количество) потребления коммунальных ресурсов (материал стен, кровли, этажность);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степень благоустройства - наличие внутридомовых инженерных коммуникаций и оборудования многоквартирного дома или индивидуального жилого дома, используемых для предоставления потребителям коммунальных услуг;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климатические условия - среднесуточная температура наружного воздуха за отопительный период, расчетная температура наружного воздуха в целях проектирования отопления, скорость ветра в отопительный период и другие климатические параметры, влияющие на объем потребления товарного и сжиженного нефтяного газа;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государственный орган, осуществляющий руководство в сферах естественных монополий и на регулируемых рынках;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заявка – официальное обращение (заявление) услугодателя в уполномоченный орган об утверждении норм потребления товарного и сжиженного нефтяного газа;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услугодатель – индивидуальный предприниматель или юридическое лицо, оказывающие услуги по предоставлению товарного и сжиженного нефтяного газа потребителям;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объект-представитель – квартира в многоквартирном доме, индивидуальный жилой дом или многоквартирный дом, в которых производится наблюдение за фактическим объемом потребления газа.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термины и определения, используемые в настоящих Правилах,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расчета норм потребления товарного и сжиженного</w:t>
      </w:r>
      <w:r>
        <w:br/>
      </w:r>
      <w:r>
        <w:rPr>
          <w:rFonts w:ascii="Times New Roman"/>
          <w:b/>
          <w:i w:val="false"/>
          <w:color w:val="000000"/>
        </w:rPr>
        <w:t>нефтяного газа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расчете норм потребления учитываются следующие конструктивные и технические параметры многоквартирного дома или индивидуального жилого дома: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расходе газа на нужды отопления - материал стен, крыши, объем жилых помещений, площадь ограждающих конструкций и окон, износ внутридомовых инженерных коммуникаций и оборудования;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расходе газа на подогрев воды - износ внутридомовых инженерных коммуникаций и оборудования.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потребления сжиженного нефтяного газа (далее – СНГ) на приготовление пищи и подогрев воды устанавливаются в килограммах на одного человека в месяц.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потребления СНГ на отопление жилых помещений устанавливаются в килограммах на один квадратный метр отапливаемой площади или на один кубический метр отапливаемого объема в месяц.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Нормы потребления устанавливаются едиными для многоквартирных домов и индивидуальных жилых домов, имеющих аналогичные конструктивные и технические параметры, а также степень благоустройства.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Нормы потребления рассчитываются по следующим направлениям его использования: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приготовление пищи;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подогрев воды для хозяйственных и санитарно-гигиенических нужд (включая стирку белья) в условиях отсутствия централизованного горячего водоснабжения;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наличии газового водонагревателя;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отсутствии газового водонагревателя;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индивидуальное (поквартирное) отопление жилых помещений (индивидуальных жилых домов, квартир, комнат).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Отапливаемая площадь здания определяется как площадь этажей (в том числе и мансардного, отапливаемых цокольного и подвального) здания, измеряемая в пределах внутренних поверхностей наружных стен. В отапливаемую площадь здания не включаются площади теплых чердаков и подвалов, подвала (подполья), холодных неотапливаемых веранд, балконов, лоджий, террас, а также холодного чердака или его части, не занятой под мансарду.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Отапливаемый объем здания определяется как произведение отапливаемой площади этажа на внутреннюю высоту, измеряемую от поверхности пола первого этажа до поверхности потолка последнего этажа без учета толщины перекрытий.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расчете норм потребления товарного и сжиженного нефтяного газа на бытовые нужды населения применяются следующие методы: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метод аналогов;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расчетный метод.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Метод аналогов применяется при наличии данных, полученных в результате измерений объема потребления товарного и сжиженного нефтяного газа коллективными (общедомовыми) приборами учета, установленными в объектах-представителях с аналогичными конструктивными и техническими параметрами, степенью благоустройства и климатическими условиями.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Расчетный метод применяется, если результаты измерений коллективными (общедомовыми) приборами учета в жилых домах с аналогичными конструктивными и техническими параметрами, степенью благоустройства и климатическими условиями, а также объекты-представители отсутствуют.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о применении одного из методов принимается услугодателем.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Нормы потребления СНГ рассчитываются, исходя из равномерного распределения потребляемого газа по месяцам года или дифференцируются в зависимости от сезонной неравномерности его потребления.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использовании в жилых помещениях газа по нескольким направлениям объемы потребления товарного газа, определенные по соответствующим нормам, складываются.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удобства расчеты норм потребления производятся исходя из равномерного распределения потребляемого газа по месяцам года.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потребления товарного газа на приготовление пищи и подогрев воды устанавливаются в кубических метрах на одного человека в месяц.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потребления товарного газа на отопление жилых помещений устанавливаются в кубических метрах на один квадратный метр отапливаемой площади или на один кубический метр отапливаемого объема.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Нормы потребления рассчитываются и утверждаются для каждого услугодателя с учетом природно-климатических особенностей областей, городов Астаны и Алматы, в которых находятся объекты газоснабжения.</w:t>
      </w:r>
    </w:p>
    <w:bookmarkEnd w:id="41"/>
    <w:bookmarkStart w:name="z4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расчета норм потребления товарного и сжиженного</w:t>
      </w:r>
      <w:r>
        <w:br/>
      </w:r>
      <w:r>
        <w:rPr>
          <w:rFonts w:ascii="Times New Roman"/>
          <w:b/>
          <w:i w:val="false"/>
          <w:color w:val="000000"/>
        </w:rPr>
        <w:t>нефтяного газа методом аналогов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Расчет норм потребления товарного и сжиженного нефтяного газа методом аналогов производится на основе выборочного наблюдения за фактическим объемом потребления газа.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Объем потребляемого газа определяется индивидуальными приборами учета, установленными в квартирах многоквартирных домов или индивидуальных жилых домах, или коллективными (общедомовыми) приборами учета, установленными в многоквартирных домах.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Для проведения выборочного наблюдения отбираются объекты-представители. 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Количество отбираемых объектов-представителей (объем выборки) определяется по каждому направлению использования газа.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отборе объектов-представителей соблюдаются следующие условия: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объекты-представители должны находиться в зоне стабильного газо-, тепло- и водоснабжения;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объекты-представители отбираются в населенных пунктах с наиболее характерной инфраструктурой (обеспеченность банями, прачечными, предприятиями общественного питания, детскими садами, лечебными и другими предприятиями, влияющими на объем внутриквартирного потребления газа);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объем выборки должен быть не менее минимально необходимой величины;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объектом-представителем не является многоквартирный или индивидуальный жилой дом, в котором имеются нежилые помещения, подключенные к присоединенной сети и не оборудованные приборами учета;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населенные пункты, в которых отбираются объекты-представители, должны находиться в типичных для региона климатических условиях.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определении минимально необходимого объема выборки сначала производится пробная выборка произвольного объема. Первый подход основан на принятии для анализа нужного объема выборки. В случае, если объем этой выборки окажется недостаточным для получения необходимой точности данных, необходимо дополнить эту выборку до нужного объема.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втором подходе пробная выборка берется равной 1 % от объема генеральной совокупности. На основе этой пробной выборки определяется необходимый объем окончательной выборки. Далее осуществляют выборку заданного объема и проводят по ней выборочное исследование.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пробной выборки осуществляется в следующей последовательности.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Определяется средняя арифметическая предварительной выборки по формуле: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55700" cy="107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(1)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n' - количество предварительно отобранных объектов-представителей, квартир (или домов);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Xi- среднемесячный расход газа на одного человека по i-му объекту-представителю за наблюдаемый период,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51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средняя арифметическая величины предварительной выборки,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Вычисляется дисперсия выборочной совокупности по формуле: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89100" cy="116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(2)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дисперсия выборочной совокупности.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Вычисляется дисперсия выборочной совокупности по данным выборочного отбора по формуле: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752600" cy="83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(3)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дисперсия выборочной совокупности.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Определяется средняя ошибка выборочного наблюдения (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1651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) для малой выборки (n&lt;30)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891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Определяется предельная ошибка по пробной выборке (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457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)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811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где, t - коэффициент доверия (критерий Стьюдента) - параметр, указывающий на конкретное значение вероятности того, на какую величину генеральная средняя будет отличаться от выборочной средней, определяемый по таблице, приведенной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зависимости от числа степеней свободы f=n'-1 и доверительной вероятности (уровня надежности результатов).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используется относительно большая пробная выборка, то, задав предельную ошибку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3683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, следует сравнить ее с предельной ошибкой, вычисленной по пробной выборке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57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(при одном и том же значении уровня надежности результатов). Если окажется, что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50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то объем пробной выборки достаточен и окончателен.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954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то необходимый минимальный объем выборки для определения средней величины определяется по формулам: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повторным отбором:   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795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(6)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бесповторным отбором: 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828800" cy="91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(7)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минимально необходимый объем выборочной совокупности, квартир (или домов);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объем генеральной совокупности (количество газифицированных квартир по рассматриваемой группе (квартир или домов);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- допустимая предельная ошибка выборки (принимается равной не более, чем величина предельной ошибки предварительной выборки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68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доли ед.).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Формулы (6), (7) дают минимально необходимый объем выборки.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потребления товарного газа, расход газа исчисляется в кубометрах, приведенных к стандартным условиям в соответствии с ГОСТ 2939-63 "Газы. Условия для определения объема". Если установленные приборы учета не имеют специальных корректоров по температуре или по температуре и по давлению, то приведение прошедшего через прибор учета объема газа к стандартным условиям проводится расчетным путем по формуле: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289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(8)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c</w:t>
      </w:r>
      <w:r>
        <w:rPr>
          <w:rFonts w:ascii="Times New Roman"/>
          <w:b w:val="false"/>
          <w:i w:val="false"/>
          <w:color w:val="000000"/>
          <w:sz w:val="28"/>
        </w:rPr>
        <w:t>- объемный расход газа, приведенный к стандартным условиям,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сч</w:t>
      </w:r>
      <w:r>
        <w:rPr>
          <w:rFonts w:ascii="Times New Roman"/>
          <w:b w:val="false"/>
          <w:i w:val="false"/>
          <w:color w:val="000000"/>
          <w:sz w:val="28"/>
        </w:rPr>
        <w:t>- расход газа, прошедший через прибор учета по счетному механизму,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сч</w:t>
      </w:r>
      <w:r>
        <w:rPr>
          <w:rFonts w:ascii="Times New Roman"/>
          <w:b w:val="false"/>
          <w:i w:val="false"/>
          <w:color w:val="000000"/>
          <w:sz w:val="28"/>
        </w:rPr>
        <w:t>- действительное (избыточное) давление газа внутри прибора учета или в газопроводе в непосредственной близости от него, мм рт. ст.;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937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барометрическое давление атмосферы (принимается 750,1 мм рт.ст.);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сч</w:t>
      </w:r>
      <w:r>
        <w:rPr>
          <w:rFonts w:ascii="Times New Roman"/>
          <w:b w:val="false"/>
          <w:i w:val="false"/>
          <w:color w:val="000000"/>
          <w:sz w:val="28"/>
        </w:rPr>
        <w:t xml:space="preserve">- действительная температура паровой фазы газа внутри прибора учета или в газопроводе в непосредственной близости от него,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69"/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 входящих в формулу (8) параметров принимаются по показаниям соответствующих приборов или по данным метеорологических служб.</w:t>
      </w:r>
    </w:p>
    <w:bookmarkEnd w:id="70"/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потребления СНГ, количество израсходованного потребителями газа (V</w:t>
      </w:r>
      <w:r>
        <w:rPr>
          <w:rFonts w:ascii="Times New Roman"/>
          <w:b w:val="false"/>
          <w:i w:val="false"/>
          <w:color w:val="000000"/>
          <w:vertAlign w:val="subscript"/>
        </w:rPr>
        <w:t>сч</w:t>
      </w:r>
      <w:r>
        <w:rPr>
          <w:rFonts w:ascii="Times New Roman"/>
          <w:b w:val="false"/>
          <w:i w:val="false"/>
          <w:color w:val="000000"/>
          <w:sz w:val="28"/>
        </w:rPr>
        <w:t>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), определенное по объемному газовому счетчику, приводят к стандартным условиям (V</w:t>
      </w:r>
      <w:r>
        <w:rPr>
          <w:rFonts w:ascii="Times New Roman"/>
          <w:b w:val="false"/>
          <w:i w:val="false"/>
          <w:color w:val="000000"/>
          <w:vertAlign w:val="subscript"/>
        </w:rPr>
        <w:t>c</w:t>
      </w:r>
      <w:r>
        <w:rPr>
          <w:rFonts w:ascii="Times New Roman"/>
          <w:b w:val="false"/>
          <w:i w:val="false"/>
          <w:color w:val="000000"/>
          <w:sz w:val="28"/>
        </w:rPr>
        <w:t>) и пересчитывают в (кг) по формуле: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718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(9)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массовый расход СНГ, кг;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748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плотность газа при стандартных условиях, кг/м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определяют как сумму произведений стандартных плотностей компонентов на их объемное долевое содержание в смеси;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плотность i-го компонента газа при стандартных условиях, кг/м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объемное содержание i-го компонента газа, % об.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известны составы компонентов газа в % массовых, то их переводят в % мольные, а затем в % объемные по формулам (10), (11):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447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% мол (10)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5781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% об, (11)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033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массовое, мольное и объемное содержание i-го компонента СНГ, соответственно, - % мас., % мол., % об.;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молекулярная масса i-го компонента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коэффициент сжимаемости i-го компонента газа при стандартных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углеводородов, входящих в состав газа, значения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10541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приведены в ГОСТ 30319.1-96 "Газ природный. Методы расчета физических свойств. Определение физических свойств товарного газа, его компонентов и продуктов его переработки" (далее – ГОСТ 30319.1-96).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 целью учета сезонной неравномерности газопотребления наблюдения за расходом газа по каждому объекту-представителю проводятся в течение одного календарного года.</w:t>
      </w:r>
    </w:p>
    <w:bookmarkEnd w:id="76"/>
    <w:bookmarkStart w:name="z11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процессе проведения расчетов необходимо отбрасывать резко выделяющиеся значения расхода газа, возникающие вследствие ошибок в отсчетах показаний приборов учета, ошибок при регистрации значений.</w:t>
      </w:r>
    </w:p>
    <w:bookmarkEnd w:id="77"/>
    <w:bookmarkStart w:name="z11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 результатам наблюдений составляется сводная ведомость фактических расходов газа за наблюдаемый период.</w:t>
      </w:r>
    </w:p>
    <w:bookmarkEnd w:id="78"/>
    <w:bookmarkStart w:name="z11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случаев, когда прибор учета установлен на все газовые приборы и аппараты, имеющиеся в квартире, расход газа на отопление определяется как разница между объемом потребления газа по обследованному объекту-представителю при наличии местных отопительных систем с аналогичными объектами при их отсутствии.</w:t>
      </w:r>
    </w:p>
    <w:bookmarkEnd w:id="79"/>
    <w:bookmarkStart w:name="z11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Среднемесячное потребление СНГ по каждому из направлений его использования определяется по формуле: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41400" cy="86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(12а)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Среднемесячное потребление товарного газа по каждому из направлений его использования определяется по формуле: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03300" cy="86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(12б)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>– среднемесячное потребление СНГ на одного человека или на 1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отапливаемой площади, кг/чел.•мес., или кг/м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.•мес.;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</w:t>
      </w:r>
      <w:r>
        <w:rPr>
          <w:rFonts w:ascii="Times New Roman"/>
          <w:b w:val="false"/>
          <w:i w:val="false"/>
          <w:color w:val="000000"/>
          <w:vertAlign w:val="subscript"/>
        </w:rPr>
        <w:t>v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среднемесячное потребление товарного газа на одного человека или на 1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отапливаемой площади,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/чел.•мес., или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.•мес.;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21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фактический расход СНГ по объектам-представителям (от 1 до n) за наблюдаемый промежуток времени, кг;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фактический расход товарного газа по объектам-представителям (от 1 до n) за наблюдаемый промежуток времени,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промежуток времени между снятием показаний с прибора учета,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соответствующее число жителей, потребляющих газ чел., или размер отапливаемой площади,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794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среднее количество дней в месяце (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47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учета сезонной неравномерности, снятие показаний с приборов учета необходимо проводить в холодный, переходный и теплый периоды года, а среднюю продолжительность месяца для каждого из периодов года следует определять в соответствии с принятой их продолжительностью для данного региона.</w:t>
      </w:r>
    </w:p>
    <w:bookmarkEnd w:id="83"/>
    <w:bookmarkStart w:name="z12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Норма потребления СНГ по каждому направлению его использования определяется по формуле: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(13а)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потребления товарного газа по каждому направлению его использования определяется по формуле: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74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(13б)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норма потребления СНГ, кг/чел.•мес. или кг/м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.•мес.;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</w:t>
      </w:r>
      <w:r>
        <w:rPr>
          <w:rFonts w:ascii="Times New Roman"/>
          <w:b w:val="false"/>
          <w:i w:val="false"/>
          <w:color w:val="000000"/>
          <w:vertAlign w:val="subscript"/>
        </w:rPr>
        <w:t>v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 потребления товарного газа,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/чел.•мес., или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.•мес.;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коэффициент учета повышенного потребления газа в условиях отсутствия приборов учета, равный 1,1.</w:t>
      </w:r>
    </w:p>
    <w:bookmarkStart w:name="z13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расчета норм потребления сжиженного нефтяного газа</w:t>
      </w:r>
      <w:r>
        <w:br/>
      </w:r>
      <w:r>
        <w:rPr>
          <w:rFonts w:ascii="Times New Roman"/>
          <w:b/>
          <w:i w:val="false"/>
          <w:color w:val="000000"/>
        </w:rPr>
        <w:t>расчетным методом</w:t>
      </w:r>
    </w:p>
    <w:bookmarkEnd w:id="87"/>
    <w:bookmarkStart w:name="z13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Нормы потребления СНГ на приготовление пищи при наличии в жилых помещениях газовых плит и централизованного горячего водоснабжения рассчитываются на основании годовых норм расхода теплоты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2540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Расчет среднемесячной нормы потребления СНГ на приготовление пищи для одного человека Н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кг/чел•мес, производится по формуле: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779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(14)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годовая норма расхода теплоты на приготовление пищи для одного человека, приведенная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МДж/чел•мес.;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низшая массовая теплота сгорания СНГ, МДж/кг;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12 - количество месяцев в году.</w:t>
      </w:r>
    </w:p>
    <w:bookmarkEnd w:id="90"/>
    <w:bookmarkStart w:name="z14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Низшая массовая теплота сгорания СНГ (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3429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МДж/кг) определяется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242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(15)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низшая объемная теплота сгорания i-го компонента СНГ, приведенная к 1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газообразного компонента СНГ при стандартных условиях, МДж/м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(данные ГОСТ 22667-82 (СТ СЭВ 3359-81) "Газы горючие природные. Расчетный метод определения теплоты сгорания, относительной плотности и числа Воббе" (далее - ГОСТ 22667-82);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массовое содержание i-го компонента СНГ, % мас.;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683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плотность i-го компонента СНГ при стандартных условиях, кг/м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763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низшая массовая теплота сгорания i-го компонента СНГ, МДж/кг.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низшей теплоты сгорания СНГ необходимо использовать данные для условной смеси пропан - н-бутан. При этом легкие компоненты (метан, этан) приплюсовывают к пропану, а тяжелые (пентаны) - к бутану.</w:t>
      </w:r>
    </w:p>
    <w:bookmarkEnd w:id="92"/>
    <w:bookmarkStart w:name="z15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приведены плотности, коэффициенты сжимаемости, низшие объемные теплоты сгорания для пропана и н-бутана при стандартных условиях и их молекулярные массы (из ГОСТ 30319.1-96), а также расчетные величины низших теплот сгорания СНГ при разном содержании в них пропана и бутана.</w:t>
      </w:r>
    </w:p>
    <w:bookmarkEnd w:id="93"/>
    <w:bookmarkStart w:name="z15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сведений о составе СНГ для расчета низшей теплоты сгорания принимается, что:</w:t>
      </w:r>
    </w:p>
    <w:bookmarkEnd w:id="94"/>
    <w:bookmarkStart w:name="z15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холодный (отопительный) период года используется СНГ марки ПТ по ГОСТ Р 52087-2003 "Газы углеводородные сжиженные топливные. Технические условия" (далее - ГОСТ Р 52087-2003) и ГОСТ 20448-90 "Газы углеводородные сжиженные топливные для коммунально-бытового потребления. Технические условия" (далее - ГОСТ 20448-90) с условным средним составом: пропан - 80% мас., н-бутан - 20% мас. и низшей теплотой сгорания 46,3 МДж/кг (90,9 МДж/м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5"/>
    <w:bookmarkStart w:name="z15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теплый период года используется СНГ марок ПБТ, СПБТ (по ГОСТ Р 52087-2003 и ГОСТ 20448-90) со средним составом: пропан - 60% мас., н-бутан - 40% мас. и низшей теплотой сгорания 46,2 МДж/кг (95,75 МДж/м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96"/>
    <w:bookmarkStart w:name="z15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Расчет норм потребления СНГ на приготовление пищи и подогрев воды в условиях отсутствия централизованного горячего водоснабжения:</w:t>
      </w:r>
    </w:p>
    <w:bookmarkEnd w:id="97"/>
    <w:bookmarkStart w:name="z15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приготовление пищи и подогрев воды в условиях отсутствия централизованного горячего водоснабжения производится с использованием газового водонагревателя, а при его отсутствии - с использованием газовой плиты;</w:t>
      </w:r>
    </w:p>
    <w:bookmarkEnd w:id="98"/>
    <w:bookmarkStart w:name="z15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нормы потребления СНГ на приготовление пищи и подогрев воды рассчитываются на основании годовой нормы расхода теплоты из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99"/>
    <w:bookmarkStart w:name="z15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 среднемесячных норм потребления СНГ на приготовление пищи и подогрев воды для одного человека с использованием газового водонагревателя (Н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кг/чел.мес.) производится по формуле: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795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(16)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- годовая норма расхода теплоты на приготовление пищи, МДж/чел.год(принимается из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- низшая массовая теплота сгорания паровой фазы СНГ, МДж/кг (рассчитывается по формуле (15) или принимается из таблицы 3.2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12 - число месяцев в году;</w:t>
      </w:r>
    </w:p>
    <w:bookmarkEnd w:id="101"/>
    <w:bookmarkStart w:name="z16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расчет среднемесячных норм потребления СНГ на приготовление пищи и подогрев воды при отсутствии газового водонагревателя Н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кг/чел•мес, производится по формуле: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684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(17)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794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- годовая норма расхода теплоты на приготовление пищи и подогрев воды для одного жителя при отсутствии газового водонагревателя, МДж/чел.год(принимается из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- низшая массовая теплота сгорания паровой фазы СНГ, МДж/кг (рассчитывается по формуле (15) или принимается из таблицы 3.2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12 - число месяцев в году.</w:t>
      </w:r>
    </w:p>
    <w:bookmarkEnd w:id="103"/>
    <w:bookmarkStart w:name="z17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Расчет норм потребления СНГ на индивидуальное (поквартирное) отопление жилых помещений.</w:t>
      </w:r>
    </w:p>
    <w:bookmarkEnd w:id="104"/>
    <w:bookmarkStart w:name="z17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потребления СНГ на отопление жилых помещений, имеющих индивидуальное (поквартирное) отопление и не оснащенных приборами учета, рассчитываются в соответствии с расчетными годовыми расходами тепловой энергии. При этом исходными данными для расчетов являются:</w:t>
      </w:r>
    </w:p>
    <w:bookmarkEnd w:id="105"/>
    <w:bookmarkStart w:name="z17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климатические параметры региона;</w:t>
      </w:r>
    </w:p>
    <w:bookmarkEnd w:id="106"/>
    <w:bookmarkStart w:name="z17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микроклимата в жилых помещениях;</w:t>
      </w:r>
    </w:p>
    <w:bookmarkEnd w:id="107"/>
    <w:bookmarkStart w:name="z17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усредненные объемно-планировочные показатели жилых зданий;</w:t>
      </w:r>
    </w:p>
    <w:bookmarkEnd w:id="108"/>
    <w:bookmarkStart w:name="z17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жилищного фонда в регионе по материалу стен и физическому износу;</w:t>
      </w:r>
    </w:p>
    <w:bookmarkEnd w:id="109"/>
    <w:bookmarkStart w:name="z17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средневзвешенные коэффициенты полезного действия (КПД) отопительных аппаратов и печей.</w:t>
      </w:r>
    </w:p>
    <w:bookmarkEnd w:id="110"/>
    <w:bookmarkStart w:name="z17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средняя по региону месячная норма потребления СНГ на отопление жилых зданий (домов) Н</w:t>
      </w:r>
      <w:r>
        <w:rPr>
          <w:rFonts w:ascii="Times New Roman"/>
          <w:b w:val="false"/>
          <w:i w:val="false"/>
          <w:color w:val="000000"/>
          <w:vertAlign w:val="subscript"/>
        </w:rPr>
        <w:t>от</w:t>
      </w:r>
      <w:r>
        <w:rPr>
          <w:rFonts w:ascii="Times New Roman"/>
          <w:b w:val="false"/>
          <w:i w:val="false"/>
          <w:color w:val="000000"/>
          <w:vertAlign w:val="superscript"/>
        </w:rPr>
        <w:t>ср</w:t>
      </w:r>
      <w:r>
        <w:rPr>
          <w:rFonts w:ascii="Times New Roman"/>
          <w:b w:val="false"/>
          <w:i w:val="false"/>
          <w:color w:val="000000"/>
          <w:sz w:val="28"/>
        </w:rPr>
        <w:t>, кг/(м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•мес) или кг/(м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•мес), в зависимости от наличия информации по жилищному фонду определяется по одному из следующих вариантов:</w:t>
      </w:r>
    </w:p>
    <w:bookmarkEnd w:id="111"/>
    <w:bookmarkStart w:name="z17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укрупнено - на основе общих статистических данных по жилищному фонду региона;</w:t>
      </w:r>
    </w:p>
    <w:bookmarkEnd w:id="112"/>
    <w:bookmarkStart w:name="z17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дифференцировано - для характерных групп жилых зданий (домов) с последующим усреднением в соответствии с долей группы зданий.</w:t>
      </w:r>
    </w:p>
    <w:bookmarkEnd w:id="113"/>
    <w:bookmarkStart w:name="z18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использовании общих статистических данных по жилищному фонду величина Н</w:t>
      </w:r>
      <w:r>
        <w:rPr>
          <w:rFonts w:ascii="Times New Roman"/>
          <w:b w:val="false"/>
          <w:i w:val="false"/>
          <w:color w:val="000000"/>
          <w:vertAlign w:val="subscript"/>
        </w:rPr>
        <w:t>от</w:t>
      </w:r>
      <w:r>
        <w:rPr>
          <w:rFonts w:ascii="Times New Roman"/>
          <w:b w:val="false"/>
          <w:i w:val="false"/>
          <w:color w:val="000000"/>
          <w:vertAlign w:val="superscript"/>
        </w:rPr>
        <w:t>ср</w:t>
      </w:r>
      <w:r>
        <w:rPr>
          <w:rFonts w:ascii="Times New Roman"/>
          <w:b w:val="false"/>
          <w:i w:val="false"/>
          <w:color w:val="000000"/>
          <w:sz w:val="28"/>
        </w:rPr>
        <w:t>, кг/(м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•мес) или кг/(м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•мес), рассчитывается на основе средней площади одной квартиры по региону.</w:t>
      </w:r>
    </w:p>
    <w:bookmarkEnd w:id="114"/>
    <w:bookmarkStart w:name="z18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дифференцированном расчете нормы для характерных групп жилых зданий (домов) средняя по региону месячная норма потребления СНГ на отопление Н</w:t>
      </w:r>
      <w:r>
        <w:rPr>
          <w:rFonts w:ascii="Times New Roman"/>
          <w:b w:val="false"/>
          <w:i w:val="false"/>
          <w:color w:val="000000"/>
          <w:vertAlign w:val="subscript"/>
        </w:rPr>
        <w:t>от</w:t>
      </w:r>
      <w:r>
        <w:rPr>
          <w:rFonts w:ascii="Times New Roman"/>
          <w:b w:val="false"/>
          <w:i w:val="false"/>
          <w:color w:val="000000"/>
          <w:vertAlign w:val="superscript"/>
        </w:rPr>
        <w:t>ср</w:t>
      </w:r>
      <w:r>
        <w:rPr>
          <w:rFonts w:ascii="Times New Roman"/>
          <w:b w:val="false"/>
          <w:i w:val="false"/>
          <w:color w:val="000000"/>
          <w:sz w:val="28"/>
        </w:rPr>
        <w:t>, кг/(м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•мес) или кг/(м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•мес) рассчитывается как средневзвешенная величина по долям характерных групп зданий (домов) по формуле: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0" cy="91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(18)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</w:t>
      </w:r>
      <w:r>
        <w:rPr>
          <w:rFonts w:ascii="Times New Roman"/>
          <w:b w:val="false"/>
          <w:i w:val="false"/>
          <w:color w:val="000000"/>
          <w:vertAlign w:val="subscript"/>
        </w:rPr>
        <w:t>от</w:t>
      </w:r>
      <w:r>
        <w:rPr>
          <w:rFonts w:ascii="Times New Roman"/>
          <w:b w:val="false"/>
          <w:i w:val="false"/>
          <w:color w:val="000000"/>
          <w:vertAlign w:val="superscript"/>
        </w:rPr>
        <w:t>мес</w:t>
      </w:r>
      <w:r>
        <w:rPr>
          <w:rFonts w:ascii="Times New Roman"/>
          <w:b w:val="false"/>
          <w:i w:val="false"/>
          <w:color w:val="000000"/>
          <w:sz w:val="28"/>
        </w:rPr>
        <w:t>)i - среднемесячная норма потребления СНГ на отопление для характерной i-ой группы зданий, кг/(м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•мес) или кг/(м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•мес);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доля i-ой группы зданий в общей по региону площади квартир с индивидуальным (поквартирным) отоплением при отсутствии приборов учета газа;</w:t>
      </w:r>
    </w:p>
    <w:bookmarkStart w:name="z18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- число рассматриваемых групп зданий.</w:t>
      </w:r>
    </w:p>
    <w:bookmarkEnd w:id="116"/>
    <w:bookmarkStart w:name="z18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расчетах норм потребления СНГ на отопление в качестве характерных групп выделяют здания (дома), которые различаются по:</w:t>
      </w:r>
    </w:p>
    <w:bookmarkEnd w:id="117"/>
    <w:bookmarkStart w:name="z18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объемно-планировочным показателям (величине отапливаемой площади А</w:t>
      </w:r>
      <w:r>
        <w:rPr>
          <w:rFonts w:ascii="Times New Roman"/>
          <w:b w:val="false"/>
          <w:i w:val="false"/>
          <w:color w:val="000000"/>
          <w:vertAlign w:val="subscript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>, внутренней высоте этажа здания h</w:t>
      </w:r>
      <w:r>
        <w:rPr>
          <w:rFonts w:ascii="Times New Roman"/>
          <w:b w:val="false"/>
          <w:i w:val="false"/>
          <w:color w:val="000000"/>
          <w:vertAlign w:val="subscript"/>
        </w:rPr>
        <w:t>om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и числу этажей);</w:t>
      </w:r>
    </w:p>
    <w:bookmarkEnd w:id="118"/>
    <w:bookmarkStart w:name="z18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материалу стен зданий (домов);</w:t>
      </w:r>
    </w:p>
    <w:bookmarkEnd w:id="119"/>
    <w:bookmarkStart w:name="z19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физическому износу зданий (домов).</w:t>
      </w:r>
    </w:p>
    <w:bookmarkEnd w:id="120"/>
    <w:bookmarkStart w:name="z19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Усредненные объемно-планировочные показатели, необходимые для выполнения расчетов для наиболее распространенных в регионах характерных групп жилых зданий (домов), представлены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1"/>
    <w:bookmarkStart w:name="z19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расчете региональных норм потребления СНГ на отопление с помощью указанной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формы выделяются несколько (i) характерных групп зданий (домов), имеющих наибольшую долю d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в жилищном фонде региона. Дальнейшие расчеты выполняются по усредненным объемно-планировочным показателям для одного здания из каждой i-ой характерной группы с последующим усреднением норм потребления СНГ (Нотмес)i по формуле (18);</w:t>
      </w:r>
    </w:p>
    <w:bookmarkEnd w:id="122"/>
    <w:bookmarkStart w:name="z19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расчет среднемесячной нормы потребления СНГ на отопление жилых зданий (домов) для выделенной характерной группы производится по формуле:</w:t>
      </w:r>
    </w:p>
    <w:bookmarkEnd w:id="123"/>
    <w:bookmarkStart w:name="z19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в расчете на 1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отапливаемой площади Н</w:t>
      </w:r>
      <w:r>
        <w:rPr>
          <w:rFonts w:ascii="Times New Roman"/>
          <w:b w:val="false"/>
          <w:i w:val="false"/>
          <w:color w:val="000000"/>
          <w:vertAlign w:val="subscript"/>
        </w:rPr>
        <w:t>от</w:t>
      </w:r>
      <w:r>
        <w:rPr>
          <w:rFonts w:ascii="Times New Roman"/>
          <w:b w:val="false"/>
          <w:i w:val="false"/>
          <w:color w:val="000000"/>
          <w:vertAlign w:val="superscript"/>
        </w:rPr>
        <w:t>мес</w:t>
      </w:r>
      <w:r>
        <w:rPr>
          <w:rFonts w:ascii="Times New Roman"/>
          <w:b w:val="false"/>
          <w:i w:val="false"/>
          <w:color w:val="000000"/>
          <w:sz w:val="28"/>
        </w:rPr>
        <w:t>, кг/(м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мес.):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303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(19)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в расчете на 1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отапливаемого объема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46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287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(20)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</w:t>
      </w:r>
      <w:r>
        <w:rPr>
          <w:rFonts w:ascii="Times New Roman"/>
          <w:b w:val="false"/>
          <w:i w:val="false"/>
          <w:color w:val="000000"/>
          <w:vertAlign w:val="subscript"/>
        </w:rPr>
        <w:t>от</w:t>
      </w:r>
      <w:r>
        <w:rPr>
          <w:rFonts w:ascii="Times New Roman"/>
          <w:b w:val="false"/>
          <w:i w:val="false"/>
          <w:color w:val="000000"/>
          <w:vertAlign w:val="superscript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>- расчетный среднегодовой расход СНГ на отопление здания, кг/год;</w:t>
      </w:r>
    </w:p>
    <w:bookmarkStart w:name="z20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</w:t>
      </w:r>
      <w:r>
        <w:rPr>
          <w:rFonts w:ascii="Times New Roman"/>
          <w:b w:val="false"/>
          <w:i w:val="false"/>
          <w:color w:val="000000"/>
          <w:vertAlign w:val="subscript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>- отапливаемая площадь здания,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5"/>
    <w:bookmarkStart w:name="z20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>- отапливаемый объем здания,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6"/>
    <w:bookmarkStart w:name="z20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расчетная среднегодовая норма потребления СНГ на отопление здания (G</w:t>
      </w:r>
      <w:r>
        <w:rPr>
          <w:rFonts w:ascii="Times New Roman"/>
          <w:b w:val="false"/>
          <w:i w:val="false"/>
          <w:color w:val="000000"/>
          <w:vertAlign w:val="subscript"/>
        </w:rPr>
        <w:t>от</w:t>
      </w:r>
      <w:r>
        <w:rPr>
          <w:rFonts w:ascii="Times New Roman"/>
          <w:b w:val="false"/>
          <w:i w:val="false"/>
          <w:color w:val="000000"/>
          <w:vertAlign w:val="superscript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>) определяется по расходу тепловой энергии за отопительный период года по формуле: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4224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, (21)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расход тепловой энергии на отопление здания в течение отопительного периода, характеризующегося средней суточной температурой наружного воздуха, равной 8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и ниже, МДж;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- низшая массовая теплота сгорания СНГ (рассчитывается по формуле (15) или принимается из </w:t>
      </w:r>
      <w:r>
        <w:rPr>
          <w:rFonts w:ascii="Times New Roman"/>
          <w:b w:val="false"/>
          <w:i w:val="false"/>
          <w:color w:val="000000"/>
          <w:sz w:val="28"/>
        </w:rPr>
        <w:t>таблицы 3.2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настоящим Правилам);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- КПД отопительной системы (для отопительных печей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302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=0,65...0,8, для газовых котлов различных типов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302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=0,75...0,9);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расход тепловой энергии на отопление здания в отопительный период (</w:t>
      </w:r>
    </w:p>
    <w:bookmarkEnd w:id="128"/>
    <w:p>
      <w:pPr>
        <w:spacing w:after="0"/>
        <w:ind w:left="0"/>
        <w:jc w:val="both"/>
      </w:pPr>
      <w:r>
        <w:drawing>
          <wp:inline distT="0" distB="0" distL="0" distR="0">
            <wp:extent cx="3556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МДж), учитывающий общие теплопотери здания через наружные ограждающие конструкции, бытовые тепловыделения и теплопоступления через окна от солнечной радиации, определяется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4356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,(22)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vertAlign w:val="subscript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- расчетная средняя температура внутреннего воздуха здания,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принимаемая по минимальным значениям оптимальной температуры жилых зданий в интервале 20-22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хол</w:t>
      </w:r>
      <w:r>
        <w:rPr>
          <w:rFonts w:ascii="Times New Roman"/>
          <w:b w:val="false"/>
          <w:i w:val="false"/>
          <w:color w:val="000000"/>
          <w:sz w:val="28"/>
        </w:rPr>
        <w:t xml:space="preserve">- температура наружного воздуха наиболее холодной пятидневки,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обеспеченностью 0,92;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инф</w:t>
      </w:r>
      <w:r>
        <w:rPr>
          <w:rFonts w:ascii="Times New Roman"/>
          <w:b w:val="false"/>
          <w:i w:val="false"/>
          <w:color w:val="000000"/>
          <w:sz w:val="28"/>
        </w:rPr>
        <w:t>- условный коэффициент теплопередачи здания, учитывающий теплопотери за счет инфильтрации и вентиляции в эксплуатируемых жилых зданиях, Вт/(м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- средняя температура наружного воздуха в отопительный период,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02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продолжительность отопительного периода, сут.;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21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средняя за отопительный период величина солнечной радиации на вертикальные поверхности при действительных условиях облачности, МДж/м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общая площадь внутренних поверхностей ограждающих строительных конструкций, отделяющих отапливаемые помещения от неотапливаемых, от наружного воздуха и грунта,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</w:t>
      </w:r>
      <w:r>
        <w:rPr>
          <w:rFonts w:ascii="Times New Roman"/>
          <w:b w:val="false"/>
          <w:i w:val="false"/>
          <w:color w:val="000000"/>
          <w:vertAlign w:val="subscript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>- отапливаемая площадь здания,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1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</w:t>
      </w:r>
      <w:r>
        <w:rPr>
          <w:rFonts w:ascii="Times New Roman"/>
          <w:b w:val="false"/>
          <w:i w:val="false"/>
          <w:color w:val="000000"/>
          <w:vertAlign w:val="subscript"/>
        </w:rPr>
        <w:t>F</w:t>
      </w:r>
      <w:r>
        <w:rPr>
          <w:rFonts w:ascii="Times New Roman"/>
          <w:b w:val="false"/>
          <w:i w:val="false"/>
          <w:color w:val="000000"/>
          <w:sz w:val="28"/>
        </w:rPr>
        <w:t>- суммарная площадь световых проемов,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Значения величин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0320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конкретных регионов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Величины </w:t>
      </w:r>
    </w:p>
    <w:bookmarkEnd w:id="131"/>
    <w:p>
      <w:pPr>
        <w:spacing w:after="0"/>
        <w:ind w:left="0"/>
        <w:jc w:val="both"/>
      </w:pPr>
      <w:r>
        <w:drawing>
          <wp:inline distT="0" distB="0" distL="0" distR="0">
            <wp:extent cx="3175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и A</w:t>
      </w:r>
      <w:r>
        <w:rPr>
          <w:rFonts w:ascii="Times New Roman"/>
          <w:b w:val="false"/>
          <w:i w:val="false"/>
          <w:color w:val="000000"/>
          <w:vertAlign w:val="subscript"/>
        </w:rPr>
        <w:t>F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определяются в соответствии с выбранной характерной группой зданий по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К</w:t>
      </w:r>
      <w:r>
        <w:rPr>
          <w:rFonts w:ascii="Times New Roman"/>
          <w:b w:val="false"/>
          <w:i w:val="false"/>
          <w:color w:val="000000"/>
          <w:vertAlign w:val="superscript"/>
        </w:rPr>
        <w:t>д</w:t>
      </w:r>
      <w:r>
        <w:rPr>
          <w:rFonts w:ascii="Times New Roman"/>
          <w:b w:val="false"/>
          <w:i w:val="false"/>
          <w:color w:val="000000"/>
          <w:vertAlign w:val="subscript"/>
        </w:rPr>
        <w:t>инф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рассчитывается по алгоритму, изложенному в 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32"/>
    <w:bookmarkStart w:name="z22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перечень исходных данных и результаты расчета норм потребления СНГ на отопление жилых зданий (домов) приведены в форме в 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3"/>
    <w:bookmarkStart w:name="z224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расчета норм потребления товарного газа расчетным</w:t>
      </w:r>
      <w:r>
        <w:br/>
      </w:r>
      <w:r>
        <w:rPr>
          <w:rFonts w:ascii="Times New Roman"/>
          <w:b/>
          <w:i w:val="false"/>
          <w:color w:val="000000"/>
        </w:rPr>
        <w:t>методом</w:t>
      </w:r>
    </w:p>
    <w:bookmarkEnd w:id="134"/>
    <w:bookmarkStart w:name="z22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Расчет норм потребления товарного газа на приготовление пищи:</w:t>
      </w:r>
    </w:p>
    <w:bookmarkEnd w:id="135"/>
    <w:bookmarkStart w:name="z22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нормы потребления газа на приготовление пищи при установке в жилых помещениях газовых плит рассчитываются на основании годовых норм расхода теплоты, приведенных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36"/>
    <w:bookmarkStart w:name="z22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 среднемесячной нормы потребления товарного газа на приготовление пищи Н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/чел., производится по формуле: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541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(24)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 Q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годовая норма расхода теплоты на приготовление пищи, МДж/чел. (ккал/чел.);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perscript"/>
        </w:rPr>
        <w:t>p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средняя фактическая теплота сгорания товарного газа по региону, МДж/м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(ккал/м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 определяется как средняя величина за предшествующие 3-5 лет;</w:t>
      </w:r>
    </w:p>
    <w:bookmarkStart w:name="z23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12 - количество месяцев в году, мес.</w:t>
      </w:r>
    </w:p>
    <w:bookmarkEnd w:id="139"/>
    <w:bookmarkStart w:name="z23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Расчет норм потребления товарного газа на подогрев воды в условиях отсутствия централизованного горячего водоснабжения:</w:t>
      </w:r>
    </w:p>
    <w:bookmarkEnd w:id="140"/>
    <w:bookmarkStart w:name="z23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подогрев воды в условиях отсутствия централизованного горячего водоснабжения производится с использованием газового водонагревателя, а при его отсутствии - с использованием газовой плиты;</w:t>
      </w:r>
    </w:p>
    <w:bookmarkEnd w:id="141"/>
    <w:bookmarkStart w:name="z23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нормы потребления газа на подогрев воды рассчитываются на основании годовых норм расхода теплоты, приведенных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42"/>
    <w:bookmarkStart w:name="z23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 среднемесячной нормы потребления товарного газа на подогрев воды с использованием газового водонагревателя Н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/чел, производится по формуле: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414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(25а)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 Q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годовая норма расхода теплоты на подогрев воды при наличии газового водонагревателя, МДж/чел. (ккал/чел.);</w:t>
      </w:r>
    </w:p>
    <w:bookmarkStart w:name="z23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расчет среднемесячной нормы потребления товарного газа на подогрев воды в условиях отсутствия газового водонагревателя Н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/чел, производится по формуле: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795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(25б)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 Q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годовая норма расхода теплоты на подогрев воды при отсутствии газового водонагревателя, МДж/чел. (ккал/чел.).</w:t>
      </w:r>
    </w:p>
    <w:bookmarkEnd w:id="145"/>
    <w:bookmarkStart w:name="z24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Расчет норм потребления товарного газа на индивидуальное (поквартирное) отопление жилых помещений:</w:t>
      </w:r>
    </w:p>
    <w:bookmarkEnd w:id="146"/>
    <w:bookmarkStart w:name="z24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потребления товарного газа на отопление жилых помещений, имеющих индивидуальное (поквартирное) отопление и не оснащенных приборами учета газа, рассчитываются в соответствии с расчетными годовыми расходами тепловой энергии. При этом исходными данными для расчетов являются:</w:t>
      </w:r>
    </w:p>
    <w:bookmarkEnd w:id="147"/>
    <w:bookmarkStart w:name="z24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климатические параметры региона;</w:t>
      </w:r>
    </w:p>
    <w:bookmarkEnd w:id="148"/>
    <w:bookmarkStart w:name="z24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микроклимата в жилых помещениях;</w:t>
      </w:r>
    </w:p>
    <w:bookmarkEnd w:id="149"/>
    <w:bookmarkStart w:name="z24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усредненные объемно-планировочные показатели жилых зданий;</w:t>
      </w:r>
    </w:p>
    <w:bookmarkEnd w:id="150"/>
    <w:bookmarkStart w:name="z24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жилищного фонда в регионе по материалу стен и физическому износу;</w:t>
      </w:r>
    </w:p>
    <w:bookmarkEnd w:id="151"/>
    <w:bookmarkStart w:name="z24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средневзвешенные КПД отопительных аппаратов и печей;</w:t>
      </w:r>
    </w:p>
    <w:bookmarkEnd w:id="152"/>
    <w:bookmarkStart w:name="z24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средняя по региону месячная норма потребления товарного газа на отопление жилых зданий (домов) Н</w:t>
      </w:r>
      <w:r>
        <w:rPr>
          <w:rFonts w:ascii="Times New Roman"/>
          <w:b w:val="false"/>
          <w:i w:val="false"/>
          <w:color w:val="000000"/>
          <w:vertAlign w:val="superscript"/>
        </w:rPr>
        <w:t>ср</w:t>
      </w:r>
      <w:r>
        <w:rPr>
          <w:rFonts w:ascii="Times New Roman"/>
          <w:b w:val="false"/>
          <w:i w:val="false"/>
          <w:color w:val="000000"/>
          <w:vertAlign w:val="subscript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>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/(м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x мес.) или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/(м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x мес.), в зависимости от наличия информации по жилищному фонду рассчитывается по одному из двух вариантов:</w:t>
      </w:r>
    </w:p>
    <w:bookmarkEnd w:id="153"/>
    <w:bookmarkStart w:name="z24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укрупненно на основе общих статистических данных по жилищному фонду региона;</w:t>
      </w:r>
    </w:p>
    <w:bookmarkEnd w:id="154"/>
    <w:bookmarkStart w:name="z25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дифференцировано для характерных групп жилых зданий (домов) с последующим усреднением в соответствии с долей группы зданий;</w:t>
      </w:r>
    </w:p>
    <w:bookmarkEnd w:id="155"/>
    <w:bookmarkStart w:name="z25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использовании общих статистических данных по жилищному фонду величина Н</w:t>
      </w:r>
      <w:r>
        <w:rPr>
          <w:rFonts w:ascii="Times New Roman"/>
          <w:b w:val="false"/>
          <w:i w:val="false"/>
          <w:color w:val="000000"/>
          <w:vertAlign w:val="superscript"/>
        </w:rPr>
        <w:t>ср</w:t>
      </w:r>
      <w:r>
        <w:rPr>
          <w:rFonts w:ascii="Times New Roman"/>
          <w:b w:val="false"/>
          <w:i w:val="false"/>
          <w:color w:val="000000"/>
          <w:vertAlign w:val="subscript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>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/(м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x мес.) или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/(м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x мес.), рассчитывается на основе средней площади одной квартиры по региону;</w:t>
      </w:r>
    </w:p>
    <w:bookmarkEnd w:id="156"/>
    <w:bookmarkStart w:name="z25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дифференцированном расчете норм для характерных групп жилых зданий (домов) среднюю по региону месячную норму потребления товарного газа на отопление Н</w:t>
      </w:r>
      <w:r>
        <w:rPr>
          <w:rFonts w:ascii="Times New Roman"/>
          <w:b w:val="false"/>
          <w:i w:val="false"/>
          <w:color w:val="000000"/>
          <w:vertAlign w:val="superscript"/>
        </w:rPr>
        <w:t>ср</w:t>
      </w:r>
      <w:r>
        <w:rPr>
          <w:rFonts w:ascii="Times New Roman"/>
          <w:b w:val="false"/>
          <w:i w:val="false"/>
          <w:color w:val="000000"/>
          <w:vertAlign w:val="subscript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>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/(м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x мес.) или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/(м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x мес.), рассчитывают как средневзвешенную величину по долям характерных групп зданий (домов)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7145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(26)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6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среднемесячная норма газопотребления на отопление для характерной i-ой группы зданий,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/(м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x мес.) или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/(м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x мес.);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доля i-ой группы зданий в общей по региону площади квартир с индивидуальным (поквартирным) отоплением при отсутствии приборов учета газа;</w:t>
      </w:r>
    </w:p>
    <w:bookmarkEnd w:id="158"/>
    <w:bookmarkStart w:name="z25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- число рассматриваемых групп зданий.</w:t>
      </w:r>
    </w:p>
    <w:bookmarkEnd w:id="159"/>
    <w:bookmarkStart w:name="z25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расчетах норм потребления газа на отопление в качестве характерных групп выделяют здания (дома), которые различаются по:</w:t>
      </w:r>
    </w:p>
    <w:bookmarkEnd w:id="160"/>
    <w:bookmarkStart w:name="z25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объемно-планировочным показателям (величине отапливаемой площади А</w:t>
      </w:r>
      <w:r>
        <w:rPr>
          <w:rFonts w:ascii="Times New Roman"/>
          <w:b w:val="false"/>
          <w:i w:val="false"/>
          <w:color w:val="000000"/>
          <w:vertAlign w:val="subscript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>, внутренней высоте этажа здания h</w:t>
      </w:r>
      <w:r>
        <w:rPr>
          <w:rFonts w:ascii="Times New Roman"/>
          <w:b w:val="false"/>
          <w:i w:val="false"/>
          <w:color w:val="000000"/>
          <w:vertAlign w:val="subscript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числу этажей);</w:t>
      </w:r>
    </w:p>
    <w:bookmarkEnd w:id="161"/>
    <w:bookmarkStart w:name="z26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материалу стен зданий (домов);</w:t>
      </w:r>
    </w:p>
    <w:bookmarkEnd w:id="162"/>
    <w:bookmarkStart w:name="z26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физическому износу зданий (домов).</w:t>
      </w:r>
    </w:p>
    <w:bookmarkEnd w:id="163"/>
    <w:bookmarkStart w:name="z26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Усредненные объемно-планировочные показатели, необходимые для выполнения расчетов для наиболее распространенных в областях характерных групп жилых зданий (домов), представлены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64"/>
    <w:bookmarkStart w:name="z26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расчете областных норм потребления газа на отопление с помощью указанной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формы выделяются несколько ( i) характерных групп зданий (домов), имеющих наибольшую долю di в жилищном фонде региона. Дальнейшие расчеты выполняются по усредненным объемно-планировочные показателям для одного здания из каждой i-ой характерной группы с последующим усреднением норм газопотребления </w:t>
      </w:r>
    </w:p>
    <w:bookmarkEnd w:id="165"/>
    <w:p>
      <w:pPr>
        <w:spacing w:after="0"/>
        <w:ind w:left="0"/>
        <w:jc w:val="both"/>
      </w:pPr>
      <w:r>
        <w:drawing>
          <wp:inline distT="0" distB="0" distL="0" distR="0">
            <wp:extent cx="596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по формуле (26);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расчет среднемесячной нормы потребления газа на отопление жилых зданий (домов) для выделенной характерной группы производится:</w:t>
      </w:r>
    </w:p>
    <w:bookmarkEnd w:id="166"/>
    <w:bookmarkStart w:name="z26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либо в расчете на 1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отапливаемой площади Н</w:t>
      </w:r>
      <w:r>
        <w:rPr>
          <w:rFonts w:ascii="Times New Roman"/>
          <w:b w:val="false"/>
          <w:i w:val="false"/>
          <w:color w:val="000000"/>
          <w:vertAlign w:val="superscript"/>
        </w:rPr>
        <w:t>мес</w:t>
      </w:r>
      <w:r>
        <w:rPr>
          <w:rFonts w:ascii="Times New Roman"/>
          <w:b w:val="false"/>
          <w:i w:val="false"/>
          <w:color w:val="000000"/>
          <w:vertAlign w:val="subscript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>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/(м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x   мес.)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3081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(27)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в расчете на 1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отапливаемого объема Н</w:t>
      </w:r>
      <w:r>
        <w:rPr>
          <w:rFonts w:ascii="Times New Roman"/>
          <w:b w:val="false"/>
          <w:i w:val="false"/>
          <w:color w:val="000000"/>
          <w:vertAlign w:val="superscript"/>
        </w:rPr>
        <w:t>мес</w:t>
      </w:r>
      <w:r>
        <w:rPr>
          <w:rFonts w:ascii="Times New Roman"/>
          <w:b w:val="false"/>
          <w:i w:val="false"/>
          <w:color w:val="000000"/>
          <w:vertAlign w:val="subscript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>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/(м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 x мес.)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2573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(28)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</w:t>
      </w:r>
      <w:r>
        <w:rPr>
          <w:rFonts w:ascii="Times New Roman"/>
          <w:b w:val="false"/>
          <w:i w:val="false"/>
          <w:color w:val="000000"/>
          <w:vertAlign w:val="superscript"/>
        </w:rPr>
        <w:t>год</w:t>
      </w:r>
      <w:r>
        <w:rPr>
          <w:rFonts w:ascii="Times New Roman"/>
          <w:b w:val="false"/>
          <w:i w:val="false"/>
          <w:color w:val="000000"/>
          <w:vertAlign w:val="subscript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- расчетный среднегодовой расход товарного газа на отопление здания,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/год;</w:t>
      </w:r>
    </w:p>
    <w:bookmarkStart w:name="z27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</w:t>
      </w:r>
      <w:r>
        <w:rPr>
          <w:rFonts w:ascii="Times New Roman"/>
          <w:b w:val="false"/>
          <w:i w:val="false"/>
          <w:color w:val="000000"/>
          <w:vertAlign w:val="subscript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- отапливаемая площадь здания,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70"/>
    <w:bookmarkStart w:name="z27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- отапливаемый объем здания,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71"/>
    <w:bookmarkStart w:name="z27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расчетный годовой расход товарного газа на отопление вычисляется по следующей формуле: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2192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(28)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perscript"/>
        </w:rPr>
        <w:t>оп</w:t>
      </w:r>
      <w:r>
        <w:rPr>
          <w:rFonts w:ascii="Times New Roman"/>
          <w:b w:val="false"/>
          <w:i w:val="false"/>
          <w:color w:val="000000"/>
          <w:vertAlign w:val="subscript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- расход тепловой энергии на отопление здания в течение отопительного периода, характеризующегося средней суточной температурой наружного воздуха, равной и ниже 8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МДж;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КПД отопительной системы; для отопительных печей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= 0,65... 0,75, для газовых отопительных аппаратов и котлов различных типов зот = 0,75...0,82.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сроков эксплуатации и технического состояния отопительных устройств величины их КПД могут значительно отличаться от указанных выше;</w:t>
      </w:r>
    </w:p>
    <w:bookmarkEnd w:id="174"/>
    <w:bookmarkStart w:name="z2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расход тепловой энергии на отопление здания в течение отопительного периода Q</w:t>
      </w:r>
      <w:r>
        <w:rPr>
          <w:rFonts w:ascii="Times New Roman"/>
          <w:b w:val="false"/>
          <w:i w:val="false"/>
          <w:color w:val="000000"/>
          <w:vertAlign w:val="superscript"/>
        </w:rPr>
        <w:t>оп</w:t>
      </w:r>
      <w:r>
        <w:rPr>
          <w:rFonts w:ascii="Times New Roman"/>
          <w:b w:val="false"/>
          <w:i w:val="false"/>
          <w:color w:val="000000"/>
          <w:vertAlign w:val="subscript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>, МДж, учитывает общие теплопотери здания через наружные ограждающие конструкции, бытовые тепловыделения и теплопоступления через окна от солнечной радиации и определяется по формуле: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468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61468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(29)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- расчетная средняя температура внутреннего воздуха здания,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принимаемая по минимальным значениям оптимальной температуры жилых зданий в интервале 20-22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perscript"/>
        </w:rPr>
        <w:t>хол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- температура наружного воздуха наиболее холодной пятидневки,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обеспеченностью 0,92;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инф</w:t>
      </w:r>
      <w:r>
        <w:rPr>
          <w:rFonts w:ascii="Times New Roman"/>
          <w:b w:val="false"/>
          <w:i w:val="false"/>
          <w:color w:val="000000"/>
          <w:sz w:val="28"/>
        </w:rPr>
        <w:t xml:space="preserve"> - условный коэффициент теплопередачи здания, учитывающий теплопотери за счет инфильтрации и вентиляции, Вт/(м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x </w:t>
      </w:r>
      <w:r>
        <w:rPr>
          <w:rFonts w:ascii="Times New Roman"/>
          <w:b w:val="false"/>
          <w:i w:val="false"/>
          <w:color w:val="000000"/>
          <w:vertAlign w:val="superscript"/>
        </w:rPr>
        <w:t>o</w:t>
      </w:r>
      <w:r>
        <w:rPr>
          <w:rFonts w:ascii="Times New Roman"/>
          <w:b w:val="false"/>
          <w:i w:val="false"/>
          <w:color w:val="000000"/>
          <w:sz w:val="28"/>
        </w:rPr>
        <w:t>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</w:t>
      </w:r>
      <w:r>
        <w:rPr>
          <w:rFonts w:ascii="Times New Roman"/>
          <w:b w:val="false"/>
          <w:i w:val="false"/>
          <w:color w:val="000000"/>
          <w:vertAlign w:val="superscript"/>
        </w:rPr>
        <w:t>оп</w:t>
      </w:r>
      <w:r>
        <w:rPr>
          <w:rFonts w:ascii="Times New Roman"/>
          <w:b w:val="false"/>
          <w:i w:val="false"/>
          <w:color w:val="000000"/>
          <w:vertAlign w:val="subscript"/>
        </w:rPr>
        <w:t>сут</w:t>
      </w:r>
      <w:r>
        <w:rPr>
          <w:rFonts w:ascii="Times New Roman"/>
          <w:b w:val="false"/>
          <w:i w:val="false"/>
          <w:color w:val="000000"/>
          <w:sz w:val="28"/>
        </w:rPr>
        <w:t xml:space="preserve"> - градусосутки отопительного периода - показатель, представляющий собой температурно-временную характеристику района строительства здания и используемый для расчетов потребления топлива и отопительной нагрузки здания в течение отопительного периода, </w:t>
      </w:r>
      <w:r>
        <w:rPr>
          <w:rFonts w:ascii="Times New Roman"/>
          <w:b w:val="false"/>
          <w:i w:val="false"/>
          <w:color w:val="000000"/>
          <w:vertAlign w:val="superscript"/>
        </w:rPr>
        <w:t>o</w:t>
      </w:r>
      <w:r>
        <w:rPr>
          <w:rFonts w:ascii="Times New Roman"/>
          <w:b w:val="false"/>
          <w:i w:val="false"/>
          <w:color w:val="000000"/>
          <w:sz w:val="28"/>
        </w:rPr>
        <w:t>С x сут;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</w:t>
      </w:r>
      <w:r>
        <w:rPr>
          <w:rFonts w:ascii="Times New Roman"/>
          <w:b w:val="false"/>
          <w:i w:val="false"/>
          <w:color w:val="000000"/>
          <w:vertAlign w:val="superscript"/>
        </w:rPr>
        <w:t>оп</w:t>
      </w:r>
      <w:r>
        <w:rPr>
          <w:rFonts w:ascii="Times New Roman"/>
          <w:b w:val="false"/>
          <w:i w:val="false"/>
          <w:color w:val="000000"/>
          <w:vertAlign w:val="subscript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- продолжительность отопительного периода, сут;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</w:t>
      </w:r>
      <w:r>
        <w:rPr>
          <w:rFonts w:ascii="Times New Roman"/>
          <w:b w:val="false"/>
          <w:i w:val="false"/>
          <w:color w:val="000000"/>
          <w:vertAlign w:val="superscript"/>
        </w:rPr>
        <w:t>оп</w:t>
      </w:r>
      <w:r>
        <w:rPr>
          <w:rFonts w:ascii="Times New Roman"/>
          <w:b w:val="false"/>
          <w:i w:val="false"/>
          <w:color w:val="000000"/>
          <w:vertAlign w:val="subscript"/>
        </w:rPr>
        <w:t>ср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средняя за отопительный период величина солнечной радиации на вертикальные поверхности при действительных условиях облачности, МДж/м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</w:t>
      </w:r>
      <w:r>
        <w:rPr>
          <w:rFonts w:ascii="Times New Roman"/>
          <w:b w:val="false"/>
          <w:i w:val="false"/>
          <w:color w:val="000000"/>
          <w:vertAlign w:val="superscript"/>
        </w:rPr>
        <w:t>z</w:t>
      </w:r>
      <w:r>
        <w:rPr>
          <w:rFonts w:ascii="Times New Roman"/>
          <w:b w:val="false"/>
          <w:i w:val="false"/>
          <w:color w:val="000000"/>
          <w:vertAlign w:val="subscript"/>
        </w:rPr>
        <w:t>ок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общая площадь внутренних поверхностей ограждающих строительных конструкций, отделяющих отапливаемые помещения от неотапливаемых, от наружного воздуха и от грунта,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</w:t>
      </w:r>
      <w:r>
        <w:rPr>
          <w:rFonts w:ascii="Times New Roman"/>
          <w:b w:val="false"/>
          <w:i w:val="false"/>
          <w:color w:val="000000"/>
          <w:vertAlign w:val="subscript"/>
        </w:rPr>
        <w:t>F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суммарная площадь световых проемов,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 величин t</w:t>
      </w:r>
      <w:r>
        <w:rPr>
          <w:rFonts w:ascii="Times New Roman"/>
          <w:b w:val="false"/>
          <w:i w:val="false"/>
          <w:color w:val="000000"/>
          <w:vertAlign w:val="superscript"/>
        </w:rPr>
        <w:t>хол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>, D</w:t>
      </w:r>
      <w:r>
        <w:rPr>
          <w:rFonts w:ascii="Times New Roman"/>
          <w:b w:val="false"/>
          <w:i w:val="false"/>
          <w:color w:val="000000"/>
          <w:vertAlign w:val="superscript"/>
        </w:rPr>
        <w:t>оп</w:t>
      </w:r>
      <w:r>
        <w:rPr>
          <w:rFonts w:ascii="Times New Roman"/>
          <w:b w:val="false"/>
          <w:i w:val="false"/>
          <w:color w:val="000000"/>
          <w:vertAlign w:val="subscript"/>
        </w:rPr>
        <w:t>сут</w:t>
      </w:r>
      <w:r>
        <w:rPr>
          <w:rFonts w:ascii="Times New Roman"/>
          <w:b w:val="false"/>
          <w:i w:val="false"/>
          <w:color w:val="000000"/>
          <w:sz w:val="28"/>
        </w:rPr>
        <w:t>, Z</w:t>
      </w:r>
      <w:r>
        <w:rPr>
          <w:rFonts w:ascii="Times New Roman"/>
          <w:b w:val="false"/>
          <w:i w:val="false"/>
          <w:color w:val="000000"/>
          <w:vertAlign w:val="superscript"/>
        </w:rPr>
        <w:t>оп</w:t>
      </w:r>
      <w:r>
        <w:rPr>
          <w:rFonts w:ascii="Times New Roman"/>
          <w:b w:val="false"/>
          <w:i w:val="false"/>
          <w:color w:val="000000"/>
          <w:vertAlign w:val="subscript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>, I</w:t>
      </w:r>
      <w:r>
        <w:rPr>
          <w:rFonts w:ascii="Times New Roman"/>
          <w:b w:val="false"/>
          <w:i w:val="false"/>
          <w:color w:val="000000"/>
          <w:vertAlign w:val="superscript"/>
        </w:rPr>
        <w:t>оп</w:t>
      </w:r>
      <w:r>
        <w:rPr>
          <w:rFonts w:ascii="Times New Roman"/>
          <w:b w:val="false"/>
          <w:i w:val="false"/>
          <w:color w:val="000000"/>
          <w:vertAlign w:val="subscript"/>
        </w:rPr>
        <w:t>ср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конкретных регионов принимаются по действующим нормам на проектирование и строительство.</w:t>
      </w:r>
    </w:p>
    <w:bookmarkEnd w:id="177"/>
    <w:bookmarkStart w:name="z2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Величины А</w:t>
      </w:r>
      <w:r>
        <w:rPr>
          <w:rFonts w:ascii="Times New Roman"/>
          <w:b w:val="false"/>
          <w:i w:val="false"/>
          <w:color w:val="000000"/>
          <w:vertAlign w:val="superscript"/>
        </w:rPr>
        <w:t>z</w:t>
      </w:r>
      <w:r>
        <w:rPr>
          <w:rFonts w:ascii="Times New Roman"/>
          <w:b w:val="false"/>
          <w:i w:val="false"/>
          <w:color w:val="000000"/>
          <w:vertAlign w:val="subscript"/>
        </w:rPr>
        <w:t>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</w:t>
      </w:r>
      <w:r>
        <w:rPr>
          <w:rFonts w:ascii="Times New Roman"/>
          <w:b w:val="false"/>
          <w:i w:val="false"/>
          <w:color w:val="000000"/>
          <w:vertAlign w:val="subscript"/>
        </w:rPr>
        <w:t>F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определяются в соответствии с выбранной характерной группой зданий по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8"/>
    <w:bookmarkStart w:name="z2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К</w:t>
      </w:r>
      <w:r>
        <w:rPr>
          <w:rFonts w:ascii="Times New Roman"/>
          <w:b w:val="false"/>
          <w:i w:val="false"/>
          <w:color w:val="000000"/>
          <w:vertAlign w:val="subscript"/>
        </w:rPr>
        <w:t>инф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рассчитывается по алгоритму, изложенному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9"/>
    <w:bookmarkStart w:name="z293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утверждения норм потребления товарного и сжиженного</w:t>
      </w:r>
      <w:r>
        <w:br/>
      </w:r>
      <w:r>
        <w:rPr>
          <w:rFonts w:ascii="Times New Roman"/>
          <w:b/>
          <w:i w:val="false"/>
          <w:color w:val="000000"/>
        </w:rPr>
        <w:t>нефтяного газа</w:t>
      </w:r>
    </w:p>
    <w:bookmarkEnd w:id="180"/>
    <w:bookmarkStart w:name="z2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Нормы потребления товарного и сжиженного нефтяного газа (далее – нормы потребления) утверждаются уполномоченным органом.</w:t>
      </w:r>
    </w:p>
    <w:bookmarkEnd w:id="181"/>
    <w:bookmarkStart w:name="z29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Услугодатель представляет в уполномоченный орган заявку на утверждение норм потребления с приложением необходимых обосновывающих материалов, предусмотренных пунктом 38 настоящих Правил.</w:t>
      </w:r>
    </w:p>
    <w:bookmarkEnd w:id="182"/>
    <w:bookmarkStart w:name="z29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 заявке прилагаются следующие документы:</w:t>
      </w:r>
    </w:p>
    <w:bookmarkEnd w:id="183"/>
    <w:bookmarkStart w:name="z29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пояснительная записка о необходимости утверждения норм потребления;</w:t>
      </w:r>
    </w:p>
    <w:bookmarkEnd w:id="184"/>
    <w:bookmarkStart w:name="z29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обоснованное решение о применении аналогового или расчетного метода;</w:t>
      </w:r>
    </w:p>
    <w:bookmarkEnd w:id="185"/>
    <w:bookmarkStart w:name="z29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предлагаемый уровень норм потребления;</w:t>
      </w:r>
    </w:p>
    <w:bookmarkEnd w:id="186"/>
    <w:bookmarkStart w:name="z30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соответствующие расчеты норм потребления в зависимости от выбранного метода.</w:t>
      </w:r>
    </w:p>
    <w:bookmarkEnd w:id="187"/>
    <w:bookmarkStart w:name="z30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Дополнительно к документам, указанным в пункте 38 настоящих Правил, представляются следующие документы:</w:t>
      </w:r>
    </w:p>
    <w:bookmarkEnd w:id="188"/>
    <w:bookmarkStart w:name="z30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 применения аналогового метода для расчета норм потребления: </w:t>
      </w:r>
    </w:p>
    <w:bookmarkEnd w:id="189"/>
    <w:bookmarkStart w:name="z30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проведенных измерений потребления газа на объектах представителях на официальном бланке услугодателя;</w:t>
      </w:r>
    </w:p>
    <w:bookmarkEnd w:id="190"/>
    <w:bookmarkStart w:name="z30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свидетельств о поверке приборов, использованных при измерениях;</w:t>
      </w:r>
    </w:p>
    <w:bookmarkEnd w:id="191"/>
    <w:bookmarkStart w:name="z30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технических паспортов жилых домов, на которых проводятся измерения;</w:t>
      </w:r>
    </w:p>
    <w:bookmarkEnd w:id="192"/>
    <w:bookmarkStart w:name="z30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применения расчетного метода для расчета норм потребления:</w:t>
      </w:r>
    </w:p>
    <w:bookmarkEnd w:id="193"/>
    <w:bookmarkStart w:name="z30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технических паспортов жилых домов, для которых проводится расчет норм потребления;</w:t>
      </w:r>
    </w:p>
    <w:bookmarkEnd w:id="194"/>
    <w:bookmarkStart w:name="z30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технического паспорта отопительной печи или газового котла, применяемого в здании, для которого проводится расчет.</w:t>
      </w:r>
    </w:p>
    <w:bookmarkEnd w:id="195"/>
    <w:bookmarkStart w:name="z30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В случае потребления сжиженного нефтяного газа дополнительно к документам,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38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необходимо представить справку о компонентом составе сжиженного нефтяного газа.</w:t>
      </w:r>
    </w:p>
    <w:bookmarkEnd w:id="196"/>
    <w:bookmarkStart w:name="z31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Прилагаемые к заявке документы должны быть прошиты, пронумерованы, заверены печатью и подписью первого руководителя услугодателя либо лицом, его замещающим (с приложением копии приказа услугодателя о возложении обязанности первого руководителя).</w:t>
      </w:r>
    </w:p>
    <w:bookmarkEnd w:id="197"/>
    <w:bookmarkStart w:name="z31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Уполномоченный орган в течение пяти рабочих дней со дня получения заявки проверяет на полноту представленных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в письменной форме уведомляет услугодателя о принятии заявки к рассмотрению либо о мотивированном отказе в ее принятии.</w:t>
      </w:r>
    </w:p>
    <w:bookmarkEnd w:id="198"/>
    <w:bookmarkStart w:name="z31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Основаниями для отказа в принятии заявки услугодателя к рассмотрению являются:</w:t>
      </w:r>
    </w:p>
    <w:bookmarkEnd w:id="199"/>
    <w:bookmarkStart w:name="z31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непредставление или представление не в полном объеме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200"/>
    <w:bookmarkStart w:name="z31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представление документов с нарушением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41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01"/>
    <w:bookmarkStart w:name="z31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Заявка рассматривается уполномоченным органом в течение тридцати календарных дней. Срок рассмотрения заявки исчисляется с момента поступления заявки в уполномоченный орган.</w:t>
      </w:r>
    </w:p>
    <w:bookmarkEnd w:id="202"/>
    <w:bookmarkStart w:name="z31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после принятия заявки услугодателя к рассмотрению может запросить необходимую информацию в письменной форме.</w:t>
      </w:r>
    </w:p>
    <w:bookmarkEnd w:id="203"/>
    <w:bookmarkStart w:name="z31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Принятое решение уполномоченного органа об утверждении норм потребления в течение десяти рабочих дней публикуется в официальных средствах массовой информации с указанием даты введения в действие указанных норм.</w:t>
      </w:r>
    </w:p>
    <w:bookmarkEnd w:id="204"/>
    <w:bookmarkStart w:name="z31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уполномоченный орган в течение 5 календарных дней после утверждения норм потребления уведомляет об этом услугодателя в письменной форме.</w:t>
      </w:r>
    </w:p>
    <w:bookmarkEnd w:id="205"/>
    <w:bookmarkStart w:name="z31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в действие норм потребления осуществляется с первого числа месяца, следующего за месяцем утверждения норм потребления.</w:t>
      </w:r>
    </w:p>
    <w:bookmarkEnd w:id="206"/>
    <w:bookmarkStart w:name="z32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отказа в утверждении норм потребления услугодателю направляется мотивированное заключение.</w:t>
      </w:r>
    </w:p>
    <w:bookmarkEnd w:id="207"/>
    <w:bookmarkStart w:name="z32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основанием для отказа в утверждении норм потребления является представление услугодателем материалов, не соответствующих расчетам и требованиям, установленным настоящими Правилами.</w:t>
      </w:r>
    </w:p>
    <w:bookmarkEnd w:id="208"/>
    <w:bookmarkStart w:name="z32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Срок действия норм потребления составляет не менее трех, но не более пяти лет, и в течение этого периода подлежат пересмотру в случае изменения конструктивных и технических параметров, степени благоустройства многоквартирного дома или индивидуального жилого дома, климатических условий, при которых объем (количество) потребления товарного и сжиженного нефтяного газа потребителем в многоквартирном доме или индивидуальном жилом доме изменяется более чем на пять процентов.</w:t>
      </w:r>
    </w:p>
    <w:bookmarkEnd w:id="2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 и утверждения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 товарного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сжиженного нефтяного газа</w:t>
            </w:r>
          </w:p>
        </w:tc>
      </w:tr>
    </w:tbl>
    <w:bookmarkStart w:name="z324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Стьюдента для различных значений доверительной</w:t>
      </w:r>
      <w:r>
        <w:br/>
      </w:r>
      <w:r>
        <w:rPr>
          <w:rFonts w:ascii="Times New Roman"/>
          <w:b/>
          <w:i w:val="false"/>
          <w:color w:val="000000"/>
        </w:rPr>
        <w:t>вероятности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1"/>
        <w:gridCol w:w="1979"/>
        <w:gridCol w:w="1980"/>
        <w:gridCol w:w="1980"/>
        <w:gridCol w:w="1980"/>
        <w:gridCol w:w="1980"/>
      </w:tblGrid>
      <w:tr>
        <w:trPr>
          <w:trHeight w:val="30" w:hRule="atLeast"/>
        </w:trPr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степеней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свободы f=n’-1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Доверительная вероятность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1,476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4,032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1,943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2,447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3,143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3,707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2,998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3,499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1,397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2,306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2,896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3,355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1,383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1,833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2,262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2,821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3,250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1,372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1,812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2,228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2,764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3,169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1,363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1,796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2,718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3,106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1,356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1,782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3,055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3,012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2,624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2,977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1,753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2,602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2,947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1,337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1,746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2,583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2,921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1,333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2,898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1,734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2,552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2,878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1,328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2,093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2,861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2,086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2,528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2,845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1,323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2,518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2,831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1,717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2,074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2,508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2,819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1,714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2,807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1,318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2,064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2,492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2,797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1,316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1,708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2,787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1,706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2,056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2,779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1,314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1,703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2,052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2,473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2,771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1,313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2,048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2,467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2,763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2,462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2,256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1,697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2,042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2,457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2,750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бесконечность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1,282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2,326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 и утверждения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 товарного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сжиженного нефтяного газа</w:t>
            </w:r>
          </w:p>
        </w:tc>
      </w:tr>
    </w:tbl>
    <w:bookmarkStart w:name="z326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Годовые нормы</w:t>
      </w:r>
      <w:r>
        <w:br/>
      </w:r>
      <w:r>
        <w:rPr>
          <w:rFonts w:ascii="Times New Roman"/>
          <w:b/>
          <w:i w:val="false"/>
          <w:color w:val="000000"/>
        </w:rPr>
        <w:t>расхода газа на коммунально-бытовые нужды населения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8"/>
        <w:gridCol w:w="9452"/>
      </w:tblGrid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потребителя газа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расхода теплоты,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МДж/чел. х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ккал/чел. х год)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квартире газовой плиты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централизованного горячего водоснабжения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газоснабжении: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товарным газом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 (970)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 (920)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квартире газовой плиты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газового водонагревателя (при отсутствии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централизованного горячего водоснабжения)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газоснабжении: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товарным газом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(2 400)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 (2 250)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квартире газовой плиты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отсутствии централизованного горячего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газового водонагревателя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газоснабжении: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товарным газом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(1 430)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 (1 380)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 и утверждения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 товарного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сжиженного нефтяного газа</w:t>
            </w:r>
          </w:p>
        </w:tc>
      </w:tr>
    </w:tbl>
    <w:bookmarkStart w:name="z328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Физико-химические свойства пропана, н-бутана и их смесей</w:t>
      </w:r>
    </w:p>
    <w:bookmarkEnd w:id="212"/>
    <w:bookmarkStart w:name="z3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3.1. Свойства пропана и н-бутана при стандартных условиях и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молекулярные массы (из ГОСТ 30319.1-96, ГОСТ 22667-82*)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3019"/>
        <w:gridCol w:w="3019"/>
        <w:gridCol w:w="3020"/>
        <w:gridCol w:w="2540"/>
      </w:tblGrid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ро_с, кг/м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сжимаемости,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z_c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Низшая объемная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теплота сгорания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q_но, Дж/м3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кг/моль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1,8641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0,9834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н-бутан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2,4956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0,9682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114,27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3.2. Зависимость низшей теплоты сгорания сжиженного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углеводородного газа от состава (содержания пропана и бутана)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3"/>
        <w:gridCol w:w="1949"/>
        <w:gridCol w:w="1573"/>
        <w:gridCol w:w="1949"/>
        <w:gridCol w:w="2855"/>
        <w:gridCol w:w="240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q_но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q_нв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мас.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об.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мас.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об.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Мдж/м3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Мдж/кг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46,40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88,65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46,35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46,30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93,25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46,25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95,75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46,20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46,10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3.3. Зависимость плотности сжиженного углеводородного газа от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состава при стандартных условиях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2893"/>
        <w:gridCol w:w="651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Компонентный состав СНГ, % мас.</w:t>
            </w:r>
          </w:p>
        </w:tc>
        <w:tc>
          <w:tcPr>
            <w:tcW w:w="6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плотность СНГ,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1,8881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1,9127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1,9632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2,0176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2,0738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2,1344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 и утверждения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 товарного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сжиженного нефтяного газа</w:t>
            </w:r>
          </w:p>
        </w:tc>
      </w:tr>
    </w:tbl>
    <w:bookmarkStart w:name="z333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Усредненные объемно-планировочные показатели</w:t>
      </w:r>
      <w:r>
        <w:br/>
      </w:r>
      <w:r>
        <w:rPr>
          <w:rFonts w:ascii="Times New Roman"/>
          <w:b/>
          <w:i w:val="false"/>
          <w:color w:val="000000"/>
        </w:rPr>
        <w:t>жилых зданий (домов) для расчета норм потребления товарного</w:t>
      </w:r>
      <w:r>
        <w:br/>
      </w:r>
      <w:r>
        <w:rPr>
          <w:rFonts w:ascii="Times New Roman"/>
          <w:b/>
          <w:i w:val="false"/>
          <w:color w:val="000000"/>
        </w:rPr>
        <w:t>и/или сжиженного нефтяного газа на отопление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0"/>
        <w:gridCol w:w="741"/>
        <w:gridCol w:w="1702"/>
        <w:gridCol w:w="1702"/>
        <w:gridCol w:w="1702"/>
        <w:gridCol w:w="1970"/>
        <w:gridCol w:w="1703"/>
      </w:tblGrid>
      <w:tr>
        <w:trPr>
          <w:trHeight w:val="30" w:hRule="atLeast"/>
        </w:trPr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Отапливаемая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А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Отапливаемый объем Vот,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общая площадь ограждающих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конструкций А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отделяющих отапливаемые помещения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неотапливаемых, от наружного воздуха и от грунта; суммарная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световых проемов А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 различной внутренней высоте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этажа здания 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 от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жилые одноэтажные одноквартирные и блокированные</w:t>
            </w:r>
          </w:p>
        </w:tc>
      </w:tr>
      <w:tr>
        <w:trPr>
          <w:trHeight w:val="30" w:hRule="atLeast"/>
        </w:trPr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до 25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от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F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до 35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от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110,7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F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36 до 45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от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139,8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F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46 до 65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от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F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66 до 95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от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F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96 до 120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от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F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121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от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337,5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F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</w:tr>
      <w:tr>
        <w:trPr>
          <w:trHeight w:val="30" w:hRule="atLeast"/>
        </w:trPr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146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от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F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</w:tr>
      <w:tr>
        <w:trPr>
          <w:trHeight w:val="30" w:hRule="atLeast"/>
        </w:trPr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176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от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472.5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F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жилые одноэтажные многоквартирные</w:t>
            </w:r>
          </w:p>
        </w:tc>
      </w:tr>
      <w:tr>
        <w:trPr>
          <w:trHeight w:val="30" w:hRule="atLeast"/>
        </w:trPr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115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от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F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171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от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F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жилые двухэтажные многоквартирные</w:t>
            </w:r>
          </w:p>
        </w:tc>
      </w:tr>
      <w:tr>
        <w:trPr>
          <w:trHeight w:val="30" w:hRule="atLeast"/>
        </w:trPr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от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F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481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от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1843,2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1147,02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F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</w:t>
            </w:r>
          </w:p>
        </w:tc>
      </w:tr>
      <w:tr>
        <w:trPr>
          <w:trHeight w:val="30" w:hRule="atLeast"/>
        </w:trPr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661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от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2419,2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F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жилые трехэтажные многоквартирные</w:t>
            </w:r>
          </w:p>
        </w:tc>
      </w:tr>
      <w:tr>
        <w:trPr>
          <w:trHeight w:val="30" w:hRule="atLeast"/>
        </w:trPr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460 до 730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от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1603,8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1782,0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F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731 до 1000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от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2332,8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1279,8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F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1001 до 1270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от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3061,8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3402,0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3628,8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F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 и утверждения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 товарного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сжиженного нефтяного газа</w:t>
            </w:r>
          </w:p>
        </w:tc>
      </w:tr>
    </w:tbl>
    <w:bookmarkStart w:name="z335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в жилищном фонде региона характерных групп жилых</w:t>
      </w:r>
      <w:r>
        <w:br/>
      </w:r>
      <w:r>
        <w:rPr>
          <w:rFonts w:ascii="Times New Roman"/>
          <w:b/>
          <w:i w:val="false"/>
          <w:color w:val="000000"/>
        </w:rPr>
        <w:t>зданий (домов) с потреблением товарного и/или сжиженного</w:t>
      </w:r>
      <w:r>
        <w:br/>
      </w:r>
      <w:r>
        <w:rPr>
          <w:rFonts w:ascii="Times New Roman"/>
          <w:b/>
          <w:i w:val="false"/>
          <w:color w:val="000000"/>
        </w:rPr>
        <w:t>нефтяного газа для индивидуального (поквартирного) отопления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6"/>
        <w:gridCol w:w="2721"/>
        <w:gridCol w:w="2722"/>
        <w:gridCol w:w="2722"/>
        <w:gridCol w:w="299"/>
      </w:tblGrid>
      <w:tr>
        <w:trPr>
          <w:trHeight w:val="30" w:hRule="atLeast"/>
        </w:trPr>
        <w:tc>
          <w:tcPr>
            <w:tcW w:w="3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Характерные 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 по отапливаемой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Доля* в жилищном фонде региона, %,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высоте этажа жилых зданий (домов), м</w:t>
            </w:r>
          </w:p>
        </w:tc>
        <w:tc>
          <w:tcPr>
            <w:tcW w:w="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2,0 до 2,5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2,6 до 3,0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3,1 до 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жилые одноэтажные одноквартирные и блокированные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до 25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до 35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36 до 45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46 до 65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66 до 95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96 до 120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121 до 145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146 до 175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176 до 205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жилые одноэтажные многоквартирные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150 до 240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241 до 330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331 до 420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420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жилые двухэтажные многоквартирные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 до 480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481 до 660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661 до 840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840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жилые трехэтажные многоквартирные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460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460 до 730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731 до 1000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1001 до 1270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1270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жилые здания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региону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По возможности указать или укрупнено оценить доли (по отапливаемой площади)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характерных групп жилых зданий (домов) в жилищном фонде региона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 и утверждения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 товарного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сжиженного нефтяного газа</w:t>
            </w:r>
          </w:p>
        </w:tc>
      </w:tr>
    </w:tbl>
    <w:bookmarkStart w:name="z337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Климатические параметры для расчета норм потребления и</w:t>
      </w:r>
      <w:r>
        <w:br/>
      </w:r>
      <w:r>
        <w:rPr>
          <w:rFonts w:ascii="Times New Roman"/>
          <w:b/>
          <w:i w:val="false"/>
          <w:color w:val="000000"/>
        </w:rPr>
        <w:t>товарного и/или сжиженного нефтяного газа на отопление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9"/>
        <w:gridCol w:w="1683"/>
        <w:gridCol w:w="1988"/>
        <w:gridCol w:w="2279"/>
        <w:gridCol w:w="2330"/>
        <w:gridCol w:w="1851"/>
      </w:tblGrid>
      <w:tr>
        <w:trPr>
          <w:trHeight w:val="30" w:hRule="atLeast"/>
        </w:trPr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Республики Казахстан</w:t>
            </w:r>
          </w:p>
        </w:tc>
        <w:tc>
          <w:tcPr>
            <w:tcW w:w="1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хол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Мдж/м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V, м/с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г. Астана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-8,1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г. Алматы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-1,8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Акмолинская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-8,1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Актюбинская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-6,7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Алматинская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-3,6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Атырауская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-2,8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Восточно-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-7,3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Жамбылская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-2,3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Западно-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-5,4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Карагандинская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-6,9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Костанайская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-8,1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Кызылординская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-4,6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Мангистауская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Павлодарская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-8,6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Северо-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-8,6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Южно-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-2,6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 и утверждения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 товарного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сжиженного нефтяного газа</w:t>
            </w:r>
          </w:p>
        </w:tc>
      </w:tr>
    </w:tbl>
    <w:bookmarkStart w:name="z339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определения условного коэффициента теплопередачи</w:t>
      </w:r>
      <w:r>
        <w:br/>
      </w:r>
      <w:r>
        <w:rPr>
          <w:rFonts w:ascii="Times New Roman"/>
          <w:b/>
          <w:i w:val="false"/>
          <w:color w:val="000000"/>
        </w:rPr>
        <w:t>здания с учетом теплопотерь за счет инфильтрации и вентиляции</w:t>
      </w:r>
    </w:p>
    <w:bookmarkEnd w:id="219"/>
    <w:bookmarkStart w:name="z3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Условный коэффициент теплопередачи здания К</w:t>
      </w:r>
      <w:r>
        <w:rPr>
          <w:rFonts w:ascii="Times New Roman"/>
          <w:b w:val="false"/>
          <w:i w:val="false"/>
          <w:color w:val="000000"/>
          <w:vertAlign w:val="subscript"/>
        </w:rPr>
        <w:t>инф</w:t>
      </w:r>
      <w:r>
        <w:rPr>
          <w:rFonts w:ascii="Times New Roman"/>
          <w:b w:val="false"/>
          <w:i w:val="false"/>
          <w:color w:val="000000"/>
          <w:sz w:val="28"/>
        </w:rPr>
        <w:t>, Вт/(м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С), учитывающий теплопотери за счет инфильтрации и вентиляции, определяется по формуле:</w:t>
      </w:r>
    </w:p>
    <w:bookmarkEnd w:id="2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24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(7.1)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- удельная теплоемкость воздуха, равная 1,0 кДж/(кг х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в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- средняя кратность воздухообмена здания за отопительный период, ч</w:t>
      </w:r>
      <w:r>
        <w:rPr>
          <w:rFonts w:ascii="Times New Roman"/>
          <w:b w:val="false"/>
          <w:i w:val="false"/>
          <w:color w:val="000000"/>
          <w:vertAlign w:val="superscript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>, определяемая по формуле (7.3);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- коэффициент снижения объема воздуха в здании, учитывающий наличие внутренних ограждающих конструкций (рекомендуется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=0,85);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>- отапливаемый объем здания,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(см.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общая площадь внутренних поверхностей ограждающих строительных конструкций, отделяющих отапливаемые помещения от неотапливаемых, от наружного воздуха и грунта,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(см.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- коэффициент учета влияния встречного теплового потока в светопрозрачных конструкциях для окон с двойными раздельными переплетами k=0,8;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средняя плотность приточного воздуха за отопительный период, кг/м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определяется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797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(7.2)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>- расчетная средняя температура внутреннего воздуха здания,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принимаемая по минимальным значениям оптимальной температуры жилых зданий в интервале 20-22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794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- средняя температура наружного воздуха за отопительный период,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С, принимается для конкретного региона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Средняя кратность воздухообмена здания за отопительный период n</w:t>
      </w:r>
      <w:r>
        <w:rPr>
          <w:rFonts w:ascii="Times New Roman"/>
          <w:b w:val="false"/>
          <w:i w:val="false"/>
          <w:color w:val="000000"/>
          <w:vertAlign w:val="subscript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>, ч</w:t>
      </w:r>
      <w:r>
        <w:rPr>
          <w:rFonts w:ascii="Times New Roman"/>
          <w:b w:val="false"/>
          <w:i w:val="false"/>
          <w:color w:val="000000"/>
          <w:vertAlign w:val="superscript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>, рассчитывается с учетом суммарного воздухообмена за счет вентиляции и инфильтрации по формуле: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924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(7.3)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</w:t>
      </w:r>
      <w:r>
        <w:rPr>
          <w:rFonts w:ascii="Times New Roman"/>
          <w:b w:val="false"/>
          <w:i w:val="false"/>
          <w:color w:val="000000"/>
          <w:vertAlign w:val="subscript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>- количество приточного воздуха, поступающего в здание через систему вентиляции,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/ч, определяемое по формуле (7.4);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</w:t>
      </w:r>
      <w:r>
        <w:rPr>
          <w:rFonts w:ascii="Times New Roman"/>
          <w:b w:val="false"/>
          <w:i w:val="false"/>
          <w:color w:val="000000"/>
          <w:vertAlign w:val="subscript"/>
        </w:rPr>
        <w:t>инф</w:t>
      </w:r>
      <w:r>
        <w:rPr>
          <w:rFonts w:ascii="Times New Roman"/>
          <w:b w:val="false"/>
          <w:i w:val="false"/>
          <w:color w:val="000000"/>
          <w:sz w:val="28"/>
        </w:rPr>
        <w:t>- количество воздуха, инфильтрующегося в здание через ограждающие конструкции, кг/ч, определяемое по формулам (7.5-7.8).</w:t>
      </w:r>
    </w:p>
    <w:bookmarkStart w:name="z35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Минимальная производительность системы вентиляции жилого здания (дома) должна обеспечивать не менее однократного обмена объема воздуха в течение одного часа.</w:t>
      </w:r>
    </w:p>
    <w:bookmarkEnd w:id="223"/>
    <w:bookmarkStart w:name="z36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приточного воздуха, поступающего в жилое здание (дом) через систему вентиляции при неорганизованном (естественном) притоке L</w:t>
      </w:r>
      <w:r>
        <w:rPr>
          <w:rFonts w:ascii="Times New Roman"/>
          <w:b w:val="false"/>
          <w:i w:val="false"/>
          <w:color w:val="000000"/>
          <w:vertAlign w:val="subscript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>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/ч, определяется по формуле:</w:t>
      </w:r>
    </w:p>
    <w:bookmarkEnd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160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(7.4)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  <w:r>
        <w:rPr>
          <w:rFonts w:ascii="Times New Roman"/>
          <w:b w:val="false"/>
          <w:i/>
          <w:color w:val="000000"/>
          <w:sz w:val="28"/>
        </w:rPr>
        <w:t>b</w:t>
      </w:r>
      <w:r>
        <w:rPr>
          <w:rFonts w:ascii="Times New Roman"/>
          <w:b w:val="false"/>
          <w:i w:val="false"/>
          <w:color w:val="000000"/>
          <w:vertAlign w:val="subscript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>- коэффициент превышения минимального количества приточного воздуха при естественной вентиляции, обусловленный действием следующих факторов: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отсутствием регулируемых вентиляционных решеток и клапанов;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наличием неплотностей (щелей) в дверях, окнах;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ненормативной воздухоизоляцией ограждающих конструкций зданий.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преобладающего в регионе состояния жилищного фонда в практических расчетах в зависимости от наличия перечисленных факторов коэффициент </w:t>
      </w:r>
      <w:r>
        <w:rPr>
          <w:rFonts w:ascii="Times New Roman"/>
          <w:b w:val="false"/>
          <w:i/>
          <w:color w:val="000000"/>
          <w:sz w:val="28"/>
        </w:rPr>
        <w:t>b</w:t>
      </w:r>
      <w:r>
        <w:rPr>
          <w:rFonts w:ascii="Times New Roman"/>
          <w:b w:val="false"/>
          <w:i w:val="false"/>
          <w:color w:val="000000"/>
          <w:vertAlign w:val="subscript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>следует принимать:</w:t>
      </w:r>
    </w:p>
    <w:bookmarkStart w:name="z36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одном факторе от 1,1 до 2,0;</w:t>
      </w:r>
    </w:p>
    <w:bookmarkEnd w:id="226"/>
    <w:bookmarkStart w:name="z36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сочетании двух факторов от 1,5 до 2,5;</w:t>
      </w:r>
    </w:p>
    <w:bookmarkEnd w:id="227"/>
    <w:bookmarkStart w:name="z36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трех факторах от 2,2 до 3,0.</w:t>
      </w:r>
    </w:p>
    <w:bookmarkEnd w:id="228"/>
    <w:bookmarkStart w:name="z36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Суммарное количество воздуха, поступающего в жилое здание (дом) за счет инфильтрации через ограждающие и светопрозрачные конструкции, а также через входные двери, </w:t>
      </w:r>
      <w:r>
        <w:rPr>
          <w:rFonts w:ascii="Times New Roman"/>
          <w:b w:val="false"/>
          <w:i/>
          <w:color w:val="000000"/>
          <w:sz w:val="28"/>
        </w:rPr>
        <w:t>G</w:t>
      </w:r>
      <w:r>
        <w:rPr>
          <w:rFonts w:ascii="Times New Roman"/>
          <w:b w:val="false"/>
          <w:i w:val="false"/>
          <w:color w:val="000000"/>
          <w:sz w:val="28"/>
        </w:rPr>
        <w:t>инф, кг/ч, определяется по формулам:</w:t>
      </w:r>
    </w:p>
    <w:bookmarkEnd w:id="2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44"/>
        <w:gridCol w:w="1456"/>
      </w:tblGrid>
      <w:tr>
        <w:trPr>
          <w:trHeight w:val="30" w:hRule="atLeast"/>
        </w:trPr>
        <w:tc>
          <w:tcPr>
            <w:tcW w:w="1084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806700" cy="2628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700" cy="262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(7.5)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(7.6)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(7.7)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(7.8)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</w:t>
      </w:r>
      <w:r>
        <w:rPr>
          <w:rFonts w:ascii="Times New Roman"/>
          <w:b w:val="false"/>
          <w:i w:val="false"/>
          <w:color w:val="000000"/>
          <w:vertAlign w:val="subscript"/>
        </w:rPr>
        <w:t>инф</w:t>
      </w:r>
      <w:r>
        <w:rPr>
          <w:rFonts w:ascii="Times New Roman"/>
          <w:b w:val="false"/>
          <w:i w:val="false"/>
          <w:color w:val="000000"/>
          <w:vertAlign w:val="superscript"/>
        </w:rPr>
        <w:t>ок</w:t>
      </w:r>
      <w:r>
        <w:rPr>
          <w:rFonts w:ascii="Times New Roman"/>
          <w:b w:val="false"/>
          <w:i w:val="false"/>
          <w:color w:val="000000"/>
          <w:sz w:val="28"/>
        </w:rPr>
        <w:t>- количество воздуха, инфильтрующегося в здание (дом) через ограждающие конструкции (за исключением заполнений световых проемов и входных дверей), кг/ч;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</w:t>
      </w:r>
      <w:r>
        <w:rPr>
          <w:rFonts w:ascii="Times New Roman"/>
          <w:b w:val="false"/>
          <w:i w:val="false"/>
          <w:color w:val="000000"/>
          <w:vertAlign w:val="subscript"/>
        </w:rPr>
        <w:t>инф</w:t>
      </w:r>
      <w:r>
        <w:rPr>
          <w:rFonts w:ascii="Times New Roman"/>
          <w:b w:val="false"/>
          <w:i w:val="false"/>
          <w:color w:val="000000"/>
          <w:vertAlign w:val="superscript"/>
        </w:rPr>
        <w:t>спк</w:t>
      </w:r>
      <w:r>
        <w:rPr>
          <w:rFonts w:ascii="Times New Roman"/>
          <w:b w:val="false"/>
          <w:i w:val="false"/>
          <w:color w:val="000000"/>
          <w:sz w:val="28"/>
        </w:rPr>
        <w:t>- то же, через светопрозрачные конструкции, кг/ч;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</w:t>
      </w:r>
      <w:r>
        <w:rPr>
          <w:rFonts w:ascii="Times New Roman"/>
          <w:b w:val="false"/>
          <w:i w:val="false"/>
          <w:color w:val="000000"/>
          <w:vertAlign w:val="subscript"/>
        </w:rPr>
        <w:t>инф</w:t>
      </w:r>
      <w:r>
        <w:rPr>
          <w:rFonts w:ascii="Times New Roman"/>
          <w:b w:val="false"/>
          <w:i w:val="false"/>
          <w:color w:val="000000"/>
          <w:vertAlign w:val="superscript"/>
        </w:rPr>
        <w:t>дв</w:t>
      </w:r>
      <w:r>
        <w:rPr>
          <w:rFonts w:ascii="Times New Roman"/>
          <w:b w:val="false"/>
          <w:i w:val="false"/>
          <w:color w:val="000000"/>
          <w:sz w:val="28"/>
        </w:rPr>
        <w:t>- то же, через входные двери, кг/ч;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общая площадь внутренних поверхностей ограждающих строительных конструкций, отделяющих отапливаемые помещения от неотапливаемых, от наружного воздуха и от грунта,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</w:t>
      </w:r>
      <w:r>
        <w:rPr>
          <w:rFonts w:ascii="Times New Roman"/>
          <w:b w:val="false"/>
          <w:i w:val="false"/>
          <w:color w:val="000000"/>
          <w:vertAlign w:val="subscript"/>
        </w:rPr>
        <w:t>F</w:t>
      </w:r>
      <w:r>
        <w:rPr>
          <w:rFonts w:ascii="Times New Roman"/>
          <w:b w:val="false"/>
          <w:i w:val="false"/>
          <w:color w:val="000000"/>
          <w:sz w:val="28"/>
        </w:rPr>
        <w:t>- суммарная площадь световых проемов,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</w:t>
      </w:r>
      <w:r>
        <w:rPr>
          <w:rFonts w:ascii="Times New Roman"/>
          <w:b w:val="false"/>
          <w:i w:val="false"/>
          <w:color w:val="000000"/>
          <w:vertAlign w:val="subscript"/>
        </w:rPr>
        <w:t>дв</w:t>
      </w:r>
      <w:r>
        <w:rPr>
          <w:rFonts w:ascii="Times New Roman"/>
          <w:b w:val="false"/>
          <w:i w:val="false"/>
          <w:color w:val="000000"/>
          <w:sz w:val="28"/>
        </w:rPr>
        <w:t>- общая площадь входных дверей,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(для одной входной двери в среднем А</w:t>
      </w:r>
      <w:r>
        <w:rPr>
          <w:rFonts w:ascii="Times New Roman"/>
          <w:b w:val="false"/>
          <w:i w:val="false"/>
          <w:color w:val="000000"/>
          <w:vertAlign w:val="subscript"/>
        </w:rPr>
        <w:t>дв</w:t>
      </w:r>
      <w:r>
        <w:rPr>
          <w:rFonts w:ascii="Times New Roman"/>
          <w:b w:val="false"/>
          <w:i w:val="false"/>
          <w:color w:val="000000"/>
          <w:sz w:val="28"/>
        </w:rPr>
        <w:t>=2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разность давлений воздуха на наружной и внутренней поверхностях ограждающих конструкций, Па, определяется в подразделе 7.5;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инф</w:t>
      </w:r>
      <w:r>
        <w:rPr>
          <w:rFonts w:ascii="Times New Roman"/>
          <w:b w:val="false"/>
          <w:i w:val="false"/>
          <w:color w:val="000000"/>
          <w:vertAlign w:val="superscript"/>
        </w:rPr>
        <w:t>ок</w:t>
      </w:r>
      <w:r>
        <w:rPr>
          <w:rFonts w:ascii="Times New Roman"/>
          <w:b w:val="false"/>
          <w:i w:val="false"/>
          <w:color w:val="000000"/>
          <w:sz w:val="28"/>
        </w:rPr>
        <w:t>- нормируемое сопротивление воздухопроницанию ограждающих конструкций здания,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ч Па/кг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perscript"/>
        </w:rPr>
        <w:t>спк</w:t>
      </w:r>
      <w:r>
        <w:rPr>
          <w:rFonts w:ascii="Times New Roman"/>
          <w:b w:val="false"/>
          <w:i w:val="false"/>
          <w:color w:val="000000"/>
          <w:vertAlign w:val="subscript"/>
        </w:rPr>
        <w:t>инф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- нормируемое сопротивление воздухопроницанию светопрозрачных конструкций,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ч Па/кг (для окон в деревянных переплетах R</w:t>
      </w:r>
      <w:r>
        <w:rPr>
          <w:rFonts w:ascii="Times New Roman"/>
          <w:b w:val="false"/>
          <w:i w:val="false"/>
          <w:color w:val="000000"/>
          <w:vertAlign w:val="superscript"/>
        </w:rPr>
        <w:t>спк</w:t>
      </w:r>
      <w:r>
        <w:rPr>
          <w:rFonts w:ascii="Times New Roman"/>
          <w:b w:val="false"/>
          <w:i w:val="false"/>
          <w:color w:val="000000"/>
          <w:vertAlign w:val="subscript"/>
        </w:rPr>
        <w:t>инф</w:t>
      </w:r>
      <w:r>
        <w:rPr>
          <w:rFonts w:ascii="Times New Roman"/>
          <w:b w:val="false"/>
          <w:i w:val="false"/>
          <w:color w:val="000000"/>
          <w:sz w:val="28"/>
        </w:rPr>
        <w:t>=0,167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ч Па/кг);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инф</w:t>
      </w:r>
      <w:r>
        <w:rPr>
          <w:rFonts w:ascii="Times New Roman"/>
          <w:b w:val="false"/>
          <w:i w:val="false"/>
          <w:color w:val="000000"/>
          <w:vertAlign w:val="superscript"/>
        </w:rPr>
        <w:t>дв</w:t>
      </w:r>
      <w:r>
        <w:rPr>
          <w:rFonts w:ascii="Times New Roman"/>
          <w:b w:val="false"/>
          <w:i w:val="false"/>
          <w:color w:val="000000"/>
          <w:sz w:val="28"/>
        </w:rPr>
        <w:t>- нормируемое сопротивление воздухопроницанию входных дверей,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ч Па/кг(для входных дверей жилых зданий R</w:t>
      </w:r>
      <w:r>
        <w:rPr>
          <w:rFonts w:ascii="Times New Roman"/>
          <w:b w:val="false"/>
          <w:i w:val="false"/>
          <w:color w:val="000000"/>
          <w:vertAlign w:val="subscript"/>
        </w:rPr>
        <w:t>инф</w:t>
      </w:r>
      <w:r>
        <w:rPr>
          <w:rFonts w:ascii="Times New Roman"/>
          <w:b w:val="false"/>
          <w:i w:val="false"/>
          <w:color w:val="000000"/>
          <w:vertAlign w:val="superscript"/>
        </w:rPr>
        <w:t>дв</w:t>
      </w:r>
      <w:r>
        <w:rPr>
          <w:rFonts w:ascii="Times New Roman"/>
          <w:b w:val="false"/>
          <w:i w:val="false"/>
          <w:color w:val="000000"/>
          <w:sz w:val="28"/>
        </w:rPr>
        <w:t>=0,452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ч Па/кг).</w:t>
      </w:r>
    </w:p>
    <w:bookmarkStart w:name="z37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Разность давлений воздуха на наружной и внутренней поверхностях ограждающих конструкций </w:t>
      </w:r>
    </w:p>
    <w:bookmarkEnd w:id="231"/>
    <w:p>
      <w:pPr>
        <w:spacing w:after="0"/>
        <w:ind w:left="0"/>
        <w:jc w:val="both"/>
      </w:pPr>
      <w:r>
        <w:drawing>
          <wp:inline distT="0" distB="0" distL="0" distR="0">
            <wp:extent cx="304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Па, определяется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972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(7.9)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h</w:t>
      </w:r>
      <w:r>
        <w:rPr>
          <w:rFonts w:ascii="Times New Roman"/>
          <w:b w:val="false"/>
          <w:i w:val="false"/>
          <w:color w:val="000000"/>
          <w:vertAlign w:val="subscript"/>
        </w:rPr>
        <w:t>зд</w:t>
      </w:r>
      <w:r>
        <w:rPr>
          <w:rFonts w:ascii="Times New Roman"/>
          <w:b w:val="false"/>
          <w:i w:val="false"/>
          <w:color w:val="000000"/>
          <w:sz w:val="28"/>
        </w:rPr>
        <w:t>- высота здания (от пола первого этажа до верха вытяжной шахты), 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удельный вес наружного воздуха, H/м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определяемый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7907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; (7.10)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удельный вес внутреннего воздуха, H/м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определяемый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38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; (7.11)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v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средняя скорость ветра за отопительный период, м/с, и </w:t>
      </w:r>
      <w:r>
        <w:rPr>
          <w:rFonts w:ascii="Times New Roman"/>
          <w:b w:val="false"/>
          <w:i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vertAlign w:val="superscript"/>
        </w:rPr>
        <w:t>оп</w:t>
      </w:r>
      <w:r>
        <w:rPr>
          <w:rFonts w:ascii="Times New Roman"/>
          <w:b w:val="false"/>
          <w:i w:val="false"/>
          <w:color w:val="000000"/>
          <w:sz w:val="28"/>
        </w:rPr>
        <w:t xml:space="preserve">- средняя температура наружного воздуха за отопительный период,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С, принимаются для конкретного региона в соответствии с таблицей 6.1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38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результате воздействия природно-климатических факторов и жизнедеятельности человека с течением времени происходит утрата первоначальных технико-эксплуатационных качеств жилых зданий (воздухопроницаемости, тепловой защиты, прочности, устойчивости и др.).</w:t>
      </w:r>
    </w:p>
    <w:bookmarkEnd w:id="233"/>
    <w:bookmarkStart w:name="z38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Физический износ жилых зданий (конструкций, элементов или их участков) оценивается по конкретным признакам износа и их количественной оценке.</w:t>
      </w:r>
    </w:p>
    <w:bookmarkEnd w:id="234"/>
    <w:bookmarkStart w:name="z38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Учет физического износа, обуславливающего превышение нормируемой воздухопроницаемости конструкций и элементов жилых зданий, приводит к увеличению условного коэффициента теплопередачи здания К</w:t>
      </w:r>
      <w:r>
        <w:rPr>
          <w:rFonts w:ascii="Times New Roman"/>
          <w:b w:val="false"/>
          <w:i w:val="false"/>
          <w:color w:val="000000"/>
          <w:vertAlign w:val="subscript"/>
        </w:rPr>
        <w:t>инф</w:t>
      </w:r>
      <w:r>
        <w:rPr>
          <w:rFonts w:ascii="Times New Roman"/>
          <w:b w:val="false"/>
          <w:i w:val="false"/>
          <w:color w:val="000000"/>
          <w:sz w:val="28"/>
        </w:rPr>
        <w:t>, рассчитанного по формуле (7.1).</w:t>
      </w:r>
    </w:p>
    <w:bookmarkEnd w:id="235"/>
    <w:bookmarkStart w:name="z39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Действительное значение условного коэффициента теплопередачи здания </w:t>
      </w:r>
    </w:p>
    <w:bookmarkEnd w:id="236"/>
    <w:p>
      <w:pPr>
        <w:spacing w:after="0"/>
        <w:ind w:left="0"/>
        <w:jc w:val="both"/>
      </w:pPr>
      <w:r>
        <w:drawing>
          <wp:inline distT="0" distB="0" distL="0" distR="0">
            <wp:extent cx="17653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учитывающего теплопотери за счет инфильтрации и вентиляции в эксплуатируемых жилых зданиях, определяемое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811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(7.12)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- коэффициент превышения нормируемой воздухопроницаемости в эксплуатируемых жилых 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инф</w:t>
      </w:r>
      <w:r>
        <w:rPr>
          <w:rFonts w:ascii="Times New Roman"/>
          <w:b w:val="false"/>
          <w:i w:val="false"/>
          <w:color w:val="000000"/>
          <w:sz w:val="28"/>
        </w:rPr>
        <w:t xml:space="preserve">- условный коэффициент теплопередачи здания, учитывающий теплопотери за счет инфильтрации и вентиляции,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92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определяют по формуле (7.1).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7.1. Распределение жилищного фонда в регионах Республики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по материалу стен зданий и усредненное сопротивление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воздухопроницанию материалов и конструкций стен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7"/>
        <w:gridCol w:w="1970"/>
        <w:gridCol w:w="1970"/>
        <w:gridCol w:w="2123"/>
        <w:gridCol w:w="2498"/>
        <w:gridCol w:w="1722"/>
      </w:tblGrid>
      <w:tr>
        <w:trPr>
          <w:trHeight w:val="30" w:hRule="atLeast"/>
        </w:trPr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Республики Казахстан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хол, t, н,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оп, t, н,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оп, z, от сут.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оп, I, ср Мдж/м2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V, м/с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г. Астана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г. Алматы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Акмолинская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Актюбинская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Алматинская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Атырауская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Восточно-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Жамбылская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Западно-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Карагандинская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Костанайская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Кызылординская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Мангистауская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Павлодарская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Северо-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Южно-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7.2. Распределение жилищного фонда в регионах Республики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по годам возведения, физическому износу зданий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коэффициенты превышения нормируемой воздухопроницаемости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эксплуатируемых жилых зданиях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9"/>
        <w:gridCol w:w="1331"/>
        <w:gridCol w:w="1655"/>
        <w:gridCol w:w="1748"/>
        <w:gridCol w:w="1655"/>
        <w:gridCol w:w="1331"/>
        <w:gridCol w:w="777"/>
        <w:gridCol w:w="916"/>
        <w:gridCol w:w="777"/>
        <w:gridCol w:w="871"/>
      </w:tblGrid>
      <w:tr>
        <w:trPr>
          <w:trHeight w:val="30" w:hRule="atLeast"/>
        </w:trPr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квартир (по площади)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годам возведения,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квартир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площади)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физическим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износом, %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воздухопрони-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цаемости, (г)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- 1945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1970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- 1995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г. Астана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г. Алматы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Акмолинская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Актюбинская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Алматинская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Атырауская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Восточно-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Жамбылская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Западно-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Карагандинская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Костанайская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Кызылординская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Мангистауская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Павлодарская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Северо-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Южно-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 и утверждения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 товарного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сжиженного нефтяного газа</w:t>
            </w:r>
          </w:p>
        </w:tc>
      </w:tr>
    </w:tbl>
    <w:bookmarkStart w:name="z398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Исходные данные и результаты расчета норм потребления товарного</w:t>
      </w:r>
      <w:r>
        <w:br/>
      </w:r>
      <w:r>
        <w:rPr>
          <w:rFonts w:ascii="Times New Roman"/>
          <w:b/>
          <w:i w:val="false"/>
          <w:color w:val="000000"/>
        </w:rPr>
        <w:t>и/или сжиженного нефтяного газа на отопление жилых зданий</w:t>
      </w:r>
      <w:r>
        <w:br/>
      </w:r>
      <w:r>
        <w:rPr>
          <w:rFonts w:ascii="Times New Roman"/>
          <w:b/>
          <w:i w:val="false"/>
          <w:color w:val="000000"/>
        </w:rPr>
        <w:t>(домов)</w:t>
      </w:r>
    </w:p>
    <w:bookmarkEnd w:id="239"/>
    <w:bookmarkStart w:name="z39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8.1. Используемые для расчета исходные данные и их источники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2435"/>
        <w:gridCol w:w="2049"/>
        <w:gridCol w:w="4741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исходных данных,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 расчета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Размерность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Климатические параметры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наружного воздуха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наиболее холодной пятидневки,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обеспеченностью 0,92,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конкретного региона принимается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хол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температура наружного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воздуха за отопительный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конкретного региона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принимается отдельно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оп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отопительного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 для конкретного региона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принимается отдельно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оп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сут.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за отопительный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солнечной радиации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вертикальные поверхности (стены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окна) при действительных условиях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облачности с учетом суммирования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четырем фасадам здания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оп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Мдж/м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скорость ветра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отопительный период принимается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конкретного региона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м/с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микроклимата в помещениях жилых зданий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средняя температура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воздуха здания,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принимаемая по минимальным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значениям оптимальной температуры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жилых зданий в интервале от плюс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до плюс 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Нормативная документация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Усредненные объемно-планировочные показатели жилых зданий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характерной группы зданий)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Отапливаемая площадь здания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высота здания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Отапливаемый объем здания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наружных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ограждающих конструкций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площадь световых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проемов жилого здания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F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площадь дверных проемов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дв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этажей жилого здания (дома)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жилого здания (дома)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зд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(N + 1,5)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состояние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Сопротивление воздухопроницанию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конструкций стен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инф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ок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 ч х Па/кг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превышения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нормируемой воздухопроницаемости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использования СНГ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фактическая теплота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сгорания паровой фазы СНГ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региону за предшествующие 3...5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Мдж/кг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Средневзвешенный КПД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 отопительных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 (аппаратов и печей),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зависящий от условий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продолжительности эксплуатации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 ед.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8.2. Результаты расчетов норм потребления СНГ на отопление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0"/>
        <w:gridCol w:w="2523"/>
        <w:gridCol w:w="4621"/>
        <w:gridCol w:w="736"/>
      </w:tblGrid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результатов расчетов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Размерность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теплопотери здания 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наружные ограждающие конструкции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отопительный период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тн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МДж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теплопоступления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отопительного периода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бт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МДж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Теплопоступления через окна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солнечной радиации в течение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отопительного периода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МДж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тепловой энергии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 здания в течение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отопительного периода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от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МДж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расход СНГ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 здания за отопительный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от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кг/год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среднегодовой расход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 на отопление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год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от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кг/год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норма потребления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 на отопление в расчете 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отапливаемой площади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мес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от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 мес.)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норма потребления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 на отопление в расчете 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отапливаемого объема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мес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от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 мес.)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8.3. Результаты расчетов норм потребления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товарного газа на отопление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5"/>
        <w:gridCol w:w="2589"/>
        <w:gridCol w:w="4580"/>
        <w:gridCol w:w="756"/>
      </w:tblGrid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результатов расчетов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Размерность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теплопотери здания 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наружные ограждающие конструкции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отопительный период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тн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МДж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теплопоступления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отопительного периода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бт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МДж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Теплопоступления через окна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солнечной радиации в течение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отопительного периода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ср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МДж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тепловой энергии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 здания в течение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отопительного периода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от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МДж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расход товарного газа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отопление здания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отопительный период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от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/год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среднегодовой расход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товарного газа на отопление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год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от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/год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норма потребления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товарного газа на отопление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расчете 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отапливаемой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площади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мес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от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хмес.)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норма потребления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товарного газа на отопление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расчете 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отапливаемого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мес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от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хмес.)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Relationship Target="media/document_image_rId114.jpeg" Type="http://schemas.openxmlformats.org/officeDocument/2006/relationships/image" Id="rId114"/><Relationship Target="media/document_image_rId115.jpeg" Type="http://schemas.openxmlformats.org/officeDocument/2006/relationships/image" Id="rId115"/><Relationship Target="media/document_image_rId116.jpeg" Type="http://schemas.openxmlformats.org/officeDocument/2006/relationships/image" Id="rId116"/><Relationship Target="media/document_image_rId117.jpeg" Type="http://schemas.openxmlformats.org/officeDocument/2006/relationships/image" Id="rId117"/><Relationship Target="media/document_image_rId118.jpeg" Type="http://schemas.openxmlformats.org/officeDocument/2006/relationships/image" Id="rId118"/><Relationship Target="media/document_image_rId119.jpeg" Type="http://schemas.openxmlformats.org/officeDocument/2006/relationships/image" Id="rId119"/><Relationship Target="media/document_image_rId120.jpeg" Type="http://schemas.openxmlformats.org/officeDocument/2006/relationships/image" Id="rId120"/><Relationship Target="media/document_image_rId121.jpeg" Type="http://schemas.openxmlformats.org/officeDocument/2006/relationships/image" Id="rId121"/><Relationship Target="media/document_image_rId122.jpeg" Type="http://schemas.openxmlformats.org/officeDocument/2006/relationships/image" Id="rId122"/><Relationship Target="media/document_image_rId123.jpeg" Type="http://schemas.openxmlformats.org/officeDocument/2006/relationships/image" Id="rId123"/><Relationship Target="media/document_image_rId124.jpeg" Type="http://schemas.openxmlformats.org/officeDocument/2006/relationships/image" Id="rId124"/><Relationship Target="media/document_image_rId125.jpeg" Type="http://schemas.openxmlformats.org/officeDocument/2006/relationships/image" Id="rId125"/><Relationship Target="media/document_image_rId126.jpeg" Type="http://schemas.openxmlformats.org/officeDocument/2006/relationships/image" Id="rId126"/><Relationship Target="media/document_image_rId127.jpeg" Type="http://schemas.openxmlformats.org/officeDocument/2006/relationships/image" Id="rId127"/><Relationship Target="media/document_image_rId128.jpeg" Type="http://schemas.openxmlformats.org/officeDocument/2006/relationships/image" Id="rId128"/><Relationship Target="media/document_image_rId129.jpeg" Type="http://schemas.openxmlformats.org/officeDocument/2006/relationships/image" Id="rId129"/><Relationship Target="media/document_image_rId130.jpeg" Type="http://schemas.openxmlformats.org/officeDocument/2006/relationships/image" Id="rId130"/><Relationship Target="media/document_image_rId131.jpeg" Type="http://schemas.openxmlformats.org/officeDocument/2006/relationships/image" Id="rId131"/><Relationship Target="media/document_image_rId132.jpeg" Type="http://schemas.openxmlformats.org/officeDocument/2006/relationships/image" Id="rId132"/><Relationship Target="media/document_image_rId133.jpeg" Type="http://schemas.openxmlformats.org/officeDocument/2006/relationships/image" Id="rId133"/><Relationship Target="header.xml" Type="http://schemas.openxmlformats.org/officeDocument/2006/relationships/header" Id="rId13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