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b70" w14:textId="1f42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проект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года № 954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 об условиях и порядке</w:t>
      </w:r>
      <w:r>
        <w:br/>
      </w:r>
      <w:r>
        <w:rPr>
          <w:rFonts w:ascii="Times New Roman"/>
          <w:b/>
          <w:i w:val="false"/>
          <w:color w:val="000000"/>
        </w:rPr>
        <w:t>
применения в исключительных случаях ставок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пошлин, отличных от ставок Единого таможенного тарифа,</w:t>
      </w:r>
      <w:r>
        <w:br/>
      </w:r>
      <w:r>
        <w:rPr>
          <w:rFonts w:ascii="Times New Roman"/>
          <w:b/>
          <w:i w:val="false"/>
          <w:color w:val="000000"/>
        </w:rPr>
        <w:t>
от 12 декабря 2008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«Комиссии таможенного союза» заменить словами «Евразийской экономической комиссии», слова «Комиссии» заменить словами «Совета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«Комиссией» заменить словами «Советом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«Комиссии» заменить словами «Совета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Срок применения более высокой или более низкой ставки одной из Сторон не может превышать шести месяцев, если иное не установлено соответствующим решением Совета Комиссии.».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начинает временно применяться по истечении 30 дней с даты подписания и вступает в силу с даты получения депозитарием последнего письменного уведомления о выполнении государствами Сторон внутригосударственных процедур, необходимых для его вступления в силу.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 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