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54e3" w14:textId="e365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2012 года № 1073.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"Территориальные подразделения казначейства в течение 5-и рабочих дней после представления местными уполномоченными органами по исполнению бюджета индивидуальных планов финансирования по всем государственным учреждениям производят проверку на соответствие кодам ЕБК РК, общей суммы всех индивидуальных планов финансирования по обязательствам и платежам сумме сводного плана поступлений и финансирования по платежам, сводного плана финансирования по обязательствам по каждой программе ЕБК РК, по месяцам, соответствие сводных планов финансирования нижестоящих бюджетов сводным планам финансирования вышестоящего бюджета, сводных планов финансирования города республиканского значения и столицы  сводным планам республиканского бюджета по целевым трансфертам и кредитам в нижестоящие бюджеты или из нижестоящих бюджетов в вышестоящие бюджеты, в случае передачи функций государственных органов и вводят (загружают) в ИИСК.";</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республиканского бюджета или в республиканский бюджет.";</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При уточнении республиканского и местных бюджетов посредством внесения изменений и дополнений в закон о республиканском бюджете или решение маслихата о местном бюджете государственные учреждения уточняют индивидуальные планы финансирования, администраторы бюджетных программ - планы финансирования администратора бюджетных программ, уполномоченный орган по исполнению бюджета - сводный план поступлений в бюджет, сводный план поступлений и финансирования по платежам, сводный план финансирования по обязательствам путем внесения изменений в них в порядке, устанавливаемом </w:t>
      </w:r>
      <w:r>
        <w:rPr>
          <w:rFonts w:ascii="Times New Roman"/>
          <w:b w:val="false"/>
          <w:i w:val="false"/>
          <w:color w:val="000000"/>
          <w:sz w:val="28"/>
        </w:rPr>
        <w:t>главой 5</w:t>
      </w:r>
      <w:r>
        <w:rPr>
          <w:rFonts w:ascii="Times New Roman"/>
          <w:b w:val="false"/>
          <w:i w:val="false"/>
          <w:color w:val="000000"/>
          <w:sz w:val="28"/>
        </w:rPr>
        <w:t xml:space="preserve"> и абзацем 9 </w:t>
      </w:r>
      <w:r>
        <w:rPr>
          <w:rFonts w:ascii="Times New Roman"/>
          <w:b w:val="false"/>
          <w:i w:val="false"/>
          <w:color w:val="000000"/>
          <w:sz w:val="28"/>
        </w:rPr>
        <w:t>пункта 26</w:t>
      </w:r>
      <w:r>
        <w:rPr>
          <w:rFonts w:ascii="Times New Roman"/>
          <w:b w:val="false"/>
          <w:i w:val="false"/>
          <w:color w:val="000000"/>
          <w:sz w:val="28"/>
        </w:rPr>
        <w:t xml:space="preserve"> главы 4 настоящих Правил.";</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части четвертой изложить в следующей редакции:</w:t>
      </w:r>
      <w:r>
        <w:br/>
      </w:r>
      <w:r>
        <w:rPr>
          <w:rFonts w:ascii="Times New Roman"/>
          <w:b w:val="false"/>
          <w:i w:val="false"/>
          <w:color w:val="000000"/>
          <w:sz w:val="28"/>
        </w:rPr>
        <w:t xml:space="preserve">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их подведомственных им государственных учреждений;"; </w:t>
      </w:r>
      <w:r>
        <w:br/>
      </w:r>
      <w:r>
        <w:rPr>
          <w:rFonts w:ascii="Times New Roman"/>
          <w:b w:val="false"/>
          <w:i w:val="false"/>
          <w:color w:val="000000"/>
          <w:sz w:val="28"/>
        </w:rPr>
        <w:t>
</w:t>
      </w:r>
      <w:r>
        <w:rPr>
          <w:rFonts w:ascii="Times New Roman"/>
          <w:b w:val="false"/>
          <w:i w:val="false"/>
          <w:color w:val="000000"/>
          <w:sz w:val="28"/>
        </w:rPr>
        <w:t xml:space="preserve">
      дополнить частью пятой следующего содержания: </w:t>
      </w:r>
      <w:r>
        <w:br/>
      </w: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главы 16 изложить в следующей редакции:</w:t>
      </w:r>
      <w:r>
        <w:br/>
      </w:r>
      <w:r>
        <w:rPr>
          <w:rFonts w:ascii="Times New Roman"/>
          <w:b w:val="false"/>
          <w:i w:val="false"/>
          <w:color w:val="000000"/>
          <w:sz w:val="28"/>
        </w:rPr>
        <w:t>
      "Глава 16. Порядок и сроки перечисления бюджетных изъятий, целевых трансфертов из нижестоящих бюджетов в вышестоящий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145</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целевые трансферты передаются из нижестоящего бюджета в вышестоящий бюджет в пределах сумм, предусмотренных в сводном плане поступлений и финансирования по платежам нижестоящего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частьями третьей и четвертой следующего содержания:</w:t>
      </w:r>
      <w:r>
        <w:br/>
      </w:r>
      <w:r>
        <w:rPr>
          <w:rFonts w:ascii="Times New Roman"/>
          <w:b w:val="false"/>
          <w:i w:val="false"/>
          <w:color w:val="000000"/>
          <w:sz w:val="28"/>
        </w:rPr>
        <w:t>
      "Соответствующий местный уполномоченный орган по исполнению бюджета при передаче функций государственных органов из нижестоящих уровней государственного управления в вышестоящий уровень перечисляет сумму целевых  трансфертов на основании счета к оплате, предоставленного в территориальное подразделение казначейства в пределах сумм, предусмотренных в сводном плане поступлений и финансирования по платежам нижестоящего бюджета, с указанием соответствующего кода бюджетной классификации поступлений вышестоящего бюджета.</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внештатного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148</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"При передаче функций государственных органов из нижестоящих уровней государственного управления в вышестоящий уровень  контроль за полнотой перечисления целевых  трансфертов осуществляется соответствующим местным уполномоченным органом по исполнению бюджета, а также контроль за своевременным перечислением целевых трансфертов осуществляется территориальным подразделением казначейства.";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"156. По каждому коду бюджетной классификации расходов авансовая (предварительная)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w:t>
      </w:r>
      <w:r>
        <w:br/>
      </w:r>
      <w:r>
        <w:rPr>
          <w:rFonts w:ascii="Times New Roman"/>
          <w:b w:val="false"/>
          <w:i w:val="false"/>
          <w:color w:val="000000"/>
          <w:sz w:val="28"/>
        </w:rPr>
        <w:t>
      131 "Приобретение продуктов питания";</w:t>
      </w:r>
      <w:r>
        <w:br/>
      </w:r>
      <w:r>
        <w:rPr>
          <w:rFonts w:ascii="Times New Roman"/>
          <w:b w:val="false"/>
          <w:i w:val="false"/>
          <w:color w:val="000000"/>
          <w:sz w:val="28"/>
        </w:rPr>
        <w:t>
      132 "Приобретение медикаментов и прочих средств медицинского назначения";</w:t>
      </w:r>
      <w:r>
        <w:br/>
      </w:r>
      <w:r>
        <w:rPr>
          <w:rFonts w:ascii="Times New Roman"/>
          <w:b w:val="false"/>
          <w:i w:val="false"/>
          <w:color w:val="000000"/>
          <w:sz w:val="28"/>
        </w:rPr>
        <w:t>
      135 "Приобретение особого оборудования и материалов".";</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"При финансировании государственных предприятий, находящихся в республиканской или коммунальной собственности, для приобретения основных средств и нематериальных активов государственное учреждение осуществляет авансовую (предварительную) оплату по специфике экономической классификации расходов 413 "Материально-техническое оснащение государственных предприятий" не более 30 процентов от суммы, предусмотренной на текущий финансовый год на эти цели.";</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157-2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"157-2. В договорах, связанных со строительством, либо реконструкцией зданий, сооружений, дорог, капитальным ремонтом помещений, сооружений, дорог и других объектов,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r>
        <w:br/>
      </w:r>
      <w:r>
        <w:rPr>
          <w:rFonts w:ascii="Times New Roman"/>
          <w:b w:val="false"/>
          <w:i w:val="false"/>
          <w:color w:val="000000"/>
          <w:sz w:val="28"/>
        </w:rPr>
        <w:t>
</w:t>
      </w:r>
      <w:r>
        <w:rPr>
          <w:rFonts w:ascii="Times New Roman"/>
          <w:b w:val="false"/>
          <w:i w:val="false"/>
          <w:color w:val="000000"/>
          <w:sz w:val="28"/>
        </w:rPr>
        <w:t>
      абзац третий части первой  </w:t>
      </w:r>
      <w:r>
        <w:rPr>
          <w:rFonts w:ascii="Times New Roman"/>
          <w:b w:val="false"/>
          <w:i w:val="false"/>
          <w:color w:val="000000"/>
          <w:sz w:val="28"/>
        </w:rPr>
        <w:t>пункта 422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"приказа центрального исполнительного органа, осуществляющего руководство в области архитектуры, градостроительства и строительства, жилищно-коммунального хозяйства об утверждении заключения государственной экспертизы к проектной (проектно-сметной) документации в случае превышения сметной стоимости 1300000 (один миллион триста тысяч) месячных расчетных показателей и выше в текущих ценах;".</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