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1e2d" w14:textId="fd51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по энергоэффективности зданий, строений, сооружений и их элементов, являющихся частью ограждающих конструкций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2012 года № 1181. Утратило силу постановлением Правительства Республики Казахстан от 21 августа 2015 года №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Республики Казахстан от 31 марта 2015 года № 406.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13 января 2012 года «Об энергосбережении и повышении энергоэффективности»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энергоэффективности зданий, строений, сооружений и их элементов, являющихся частью ограждающих конструкций.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2012 года № 1181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по энергоэффективности зданий, строений, сооружений и их</w:t>
      </w:r>
      <w:r>
        <w:br/>
      </w:r>
      <w:r>
        <w:rPr>
          <w:rFonts w:ascii="Times New Roman"/>
          <w:b/>
          <w:i w:val="false"/>
          <w:color w:val="000000"/>
        </w:rPr>
        <w:t>
элементов, являющихся частью ограждающих конструкций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по энергоэффективности зданий, строений, сооружений и их элементов, являющихся частью ограждающих конструкций (далее –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13 января 2012 года «Об энергосбережении и повышении энергоэффективности».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удельный расход тепловой энергии на отопление здания, строения, сооружения за отопительный период – нормализованное количество тепловой энергии за отопительный период, необходимое для компенсации теплопотерь здания с учетом воздухообмена и дополнительных тепловыделений при нормируемых параметрах теплового и воздушного режимов помещений в нем, отнесенное к единице площади или к единице отапливаемого объема и градусо-суткам отопительного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градусосутки отопительного периода (ГСОП) – показатель, характеризующий степень суровости климата, является базовой расчетной величиной для определения сопротивления теплопередаче объектов, опосредованно характеризует уровень энергозатрат на поддержание параметров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приведенное сопротивление теплопередаче фрагмента ограждающей конструкции – физическая величина, характеризующая усредненную по площади плотность потока теплоты через фрагмент теплозащитной оболочки здания, строения, сооружения в стационарных условиях теплопередачи, численно равная отношению разности температур по разные стороны фрагмента к усредненной по площади плотности потока теплоты через фрагмент;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теплозащитная оболочка здания, строения, сооружения – совокупность ограждающих конструкций, образующих замкнутый контур, ограничивающий отапливаемый объем здания, строения,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удельная теплозащитная характеристика здания, строения, сооружения – физическая величина, характеризующая теплозащитную оболочку здания, строения, сооружения, численно равная потерям тепловой энергии единицы отапливаемого объема в единицу времени при перепаде температуры в 1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через теплозащитную оболочку здания, строения,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нормируемое значение удельной теплозащитной характеристики здания, строения, сооружения – физическая величина характеристики теплозащитной оболочки здания, строения, сооружения, которая численно равна потерям тепловой энергий через теплозащитную оболочку здания, строения, сооружения единицы отапливаемого объема в единицу времени при перепаде температуры в 1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гармонично утепленная конструкция – ограждающая конструкция, все элементы которой имеют близкие по значению теплотехнические характеристики;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класс энергоэффективности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здания, строения, сооружения – уровень экономичности энергопотребления здания, строения, сооружения, характеризующий его энергоэффективность на стадии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часть ограждающей конструкции здания, строения, сооружения – элементы (стены, окна, двери (ворота), витражи, фонари, покрытия, перекрытия над техническими подпольями или над неотапливаемыми подвалами), создающие наружную оболочку здания, строения,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энергетическая эффективность (энергоэффективность) – характеристика, отражающая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энергетические ресурсы – совокупность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виды энергии (атомная, электрическая, химическая, электромагнитная, тепловая и другие виды энергии);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энергосберегающие решения – применяемые при проектировании здания, строения, сооружения архитектурно-строительные и технические решения, связанные с использованием энергетических ресурсов и направленные на оптимизацию их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энергосберегающие устройства, повышающие качество электроэнергии – устройства энергосбережения, позволяющие повысить коэффициент мощности в системах электроснабжения, компенсировать перекос фаз, снизить уровень высокочастотных гармоник в электросети и улучшить электромагнитную совместимость, компенсировать пусковые токи и броски напряжения в сети, обеспечить защиту от молнии и кратковременных падений напряжения;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энергосбережение –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распространяются на проектируемые и строящиеся (реконструируемые, капитально ремонтируемые) здания, строения,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не распространяются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здания, строения, сооружения, которые отнесены к </w:t>
      </w:r>
      <w:r>
        <w:rPr>
          <w:rFonts w:ascii="Times New Roman"/>
          <w:b w:val="false"/>
          <w:i w:val="false"/>
          <w:color w:val="000000"/>
          <w:sz w:val="28"/>
        </w:rPr>
        <w:t>объектам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временные строения хозяйственного назначения, подсобные помещения, срок службы которых составляет не более двух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индивидуальные жилые дома, а также строения, находящиеся на дачных и садовых участках;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отдельно стоящие здания, строения, сооружения общей площадью менее пятидесяти квадратных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культовые здания, строения и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отдельно стоящие не отапливаемые здания, строения и сооружения. 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по энергоэффективности зданий,</w:t>
      </w:r>
      <w:r>
        <w:br/>
      </w:r>
      <w:r>
        <w:rPr>
          <w:rFonts w:ascii="Times New Roman"/>
          <w:b/>
          <w:i w:val="false"/>
          <w:color w:val="000000"/>
        </w:rPr>
        <w:t>
строений, сооружений и их элементов, являющихся</w:t>
      </w:r>
      <w:r>
        <w:br/>
      </w:r>
      <w:r>
        <w:rPr>
          <w:rFonts w:ascii="Times New Roman"/>
          <w:b/>
          <w:i w:val="false"/>
          <w:color w:val="000000"/>
        </w:rPr>
        <w:t>
частью ограждающих конструкций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Требованиями к влияющим на энергоэффективность здания, строения, сооружения архитектурным, объемно-планировочным, технологическим, конструктивным, инженерно-техническим решениям и включаемым в проектную документацию и применяемым при строительстве (реконструкции, капитальном ремонте) материалам, позволяющим исключить нерациональное (необоснованное) расходование энергетических ресурсов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показатель нормируемой (базовой) удельной величины расхода тепловой энергии в здании, строении, сооружении должен быть не больше показателя, приведенного в приложении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показатель базового значения требуемого (нормируемого) сопротивления теплопередаче ограждающей конструкции должен быть не меньше показателя, приведенного в приложении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показатель нормируемого значения удельной теплозащитной характеристики здания, строения, сооружения должен быть не больше показателя, приведенного в приложении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Экономически эффективное решение ограждающих конструкций здания, строения, сооружения выбирается с учетом конкретных климатических условий объекта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Предпроектная и (или) проектная (проектно-сметная) документация строительства новых или расширения (капитальный ремонт, реконструкция) существующих зданий, строений, сооружений должна соответствовать классу энергоэффективности «А», «В» или «С» в соответствии с порядком, установленным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Требования к используемым в зданиях, строениях, сооружениях инженерным системам, технологическим оборудованиям и включаемым в проектную документацию технологиям, позволяющим исключить нерациональное (необоснованный) расходование энергетических ресурсов, которым должны отвечать вводимое в эксплуатацию при строительстве, реконструкции и капитальном ремонте здание, строение, сооружение и их проектная документация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оборудование автоматическими термостатическими клапанами на отопительных приборах систем отопления;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оборудование теплообменниками для нагрева воды на горячее водоснабжение с устройством автоматического регулирования ее температуры, установленными на вводе в здание или части здания, строения,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оборудование электродвигателями для вентиляторов вентиляционных систем, перемещения воды во внутридомовых системах отопления, горячего и холодного водоснабжения, систем кондиционирования с классом энергоэффективности не ниже первых двух (в случае, если классы установлены);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оборудование приборами учета энергетических и водных ресурсов, установленными на вводе в здание, в квартирах с горизонтальной (поквартирной) разводкой отопления;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оборудование устройствами, оптимизирующими работу вентиляционных систем (воздухопропускные клапаны в окнах или стенах, автоматически обеспечивающие подачу наружного воздуха по потребности, утилизаторы теплоты вытяжного воздуха для нагрева приточного или горячей воды на бытовые нужды, использование рециркуляции);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оборудование регуляторами давления воды в системах холодного и горячего водоснабжения на вводе в здание, строение, сооружение;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оборудование устройствами регулирования температуры в системах отопления, в том числе автоматического регулирования на основании данных, передаваемых приборами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оборудование устройствами автоматического снижения температуры воздуха (путем ограничения или полной остановки подачи тепла) в помещениях общественных зданий в нерабочее время в отопительный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оборудование энергосберегающими осветительными приборами в местах общего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установка оборудования, обеспечивающего выключение освещения при отсутствии людей в местах общего пользования (датчики движения, выключатели);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оборудование устройствами компенсации реактивной мощности при работе электродвигателей;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оборудование дверными доводчиками (в многоквартирных домах - для всех дверей в местах общего пользования);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вторую дверь в тамбурах входных групп, обеспечивающей минимальные потери тепловой энергии, или вращающимися дверями;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оборудование ограничителями открывания окон (для многоквартирных домов – в помещениях общего пользования).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Требованиям по энергоэффективности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зданий, строений, сооружений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элементов, являющихся частью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ограждающих конструкций      </w:t>
      </w:r>
    </w:p>
    <w:bookmarkEnd w:id="7"/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Нормируемая (базовая) удельная характеристика расхода тепловой</w:t>
      </w:r>
      <w:r>
        <w:br/>
      </w:r>
      <w:r>
        <w:rPr>
          <w:rFonts w:ascii="Times New Roman"/>
          <w:b/>
          <w:i w:val="false"/>
          <w:color w:val="000000"/>
        </w:rPr>
        <w:t>
энергии на отопление и вентиляцию зданий, малоэтажных жилых</w:t>
      </w:r>
      <w:r>
        <w:br/>
      </w:r>
      <w:r>
        <w:rPr>
          <w:rFonts w:ascii="Times New Roman"/>
          <w:b/>
          <w:i w:val="false"/>
          <w:color w:val="000000"/>
        </w:rPr>
        <w:t xml:space="preserve">
домов одноквартирных, </w:t>
      </w:r>
      <w:r>
        <w:drawing>
          <wp:inline distT="0" distB="0" distL="0" distR="0">
            <wp:extent cx="4826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, за отопительный период, Вт/(м</w:t>
      </w:r>
      <w:r>
        <w:rPr>
          <w:rFonts w:ascii="Times New Roman"/>
          <w:b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</w:rPr>
        <w:t>*</w:t>
      </w:r>
      <w:r>
        <w:rPr>
          <w:rFonts w:ascii="Times New Roman"/>
          <w:b/>
          <w:i w:val="false"/>
          <w:color w:val="000000"/>
          <w:vertAlign w:val="superscript"/>
        </w:rPr>
        <w:t>о</w:t>
      </w:r>
      <w:r>
        <w:rPr>
          <w:rFonts w:ascii="Times New Roman"/>
          <w:b/>
          <w:i w:val="false"/>
          <w:color w:val="000000"/>
        </w:rPr>
        <w:t>С)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5"/>
        <w:gridCol w:w="1751"/>
        <w:gridCol w:w="1751"/>
        <w:gridCol w:w="1751"/>
        <w:gridCol w:w="1752"/>
      </w:tblGrid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Отапливаемая площадь домов,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числом этажей
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и менее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0,579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0,476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0,414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0,359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0,359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0,372</w:t>
            </w:r>
          </w:p>
        </w:tc>
      </w:tr>
      <w:tr>
        <w:trPr>
          <w:trHeight w:val="30" w:hRule="atLeast"/>
        </w:trPr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и более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drawing>
                <wp:inline distT="0" distB="0" distL="0" distR="0">
                  <wp:extent cx="4826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нормируемая (базовая) удельная характеристика расхода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энергии на отопление и вентиляцию зданий, 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 промежуточных значениях отапливаемой площади дома в интервале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50—1000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 </w:t>
            </w:r>
            <w:r>
              <w:drawing>
                <wp:inline distT="0" distB="0" distL="0" distR="0">
                  <wp:extent cx="4826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 определяться по линейной интерполяции.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Энергоэффективность жилого и общественного здания на 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проектной документации характеризуется показателем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энергоэффективности, в качестве которого принимается удельная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расхода тепловой энергии на отопление и вентиляцию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численно равная расходу тепловой энергии на отопление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вентиляцию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отапливаемой площади или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отапливаемого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здания в единицу времени при перепаде температуры в 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С, </w:t>
            </w:r>
            <w:r>
              <w:drawing>
                <wp:inline distT="0" distB="0" distL="0" distR="0">
                  <wp:extent cx="4826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или 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С).</w:t>
            </w:r>
          </w:p>
        </w:tc>
      </w:tr>
    </w:tbl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Требованиям по энергоэффективности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зданий, строений, сооружений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элементов, являющихся частью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ограждающих конструкций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5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Нормируемая (базовая) удельная характеристика расхода</w:t>
      </w:r>
      <w:r>
        <w:br/>
      </w:r>
      <w:r>
        <w:rPr>
          <w:rFonts w:ascii="Times New Roman"/>
          <w:b/>
          <w:i w:val="false"/>
          <w:color w:val="000000"/>
        </w:rPr>
        <w:t>
тепловой энергии на отопление и вентиляцию жилых и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общественных зданий за отопительный период </w:t>
      </w:r>
      <w:r>
        <w:drawing>
          <wp:inline distT="0" distB="0" distL="0" distR="0">
            <wp:extent cx="4826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зданий,</w:t>
      </w:r>
      <w:r>
        <w:br/>
      </w:r>
      <w:r>
        <w:rPr>
          <w:rFonts w:ascii="Times New Roman"/>
          <w:b/>
          <w:i w:val="false"/>
          <w:color w:val="000000"/>
        </w:rPr>
        <w:t>
Вт/(м</w:t>
      </w:r>
      <w:r>
        <w:rPr>
          <w:rFonts w:ascii="Times New Roman"/>
          <w:b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</w:rPr>
        <w:t>*</w:t>
      </w:r>
      <w:r>
        <w:rPr>
          <w:rFonts w:ascii="Times New Roman"/>
          <w:b/>
          <w:i w:val="false"/>
          <w:color w:val="000000"/>
          <w:vertAlign w:val="superscript"/>
        </w:rPr>
        <w:t>о</w:t>
      </w:r>
      <w:r>
        <w:rPr>
          <w:rFonts w:ascii="Times New Roman"/>
          <w:b/>
          <w:i w:val="false"/>
          <w:color w:val="000000"/>
        </w:rPr>
        <w:t>С)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3646"/>
        <w:gridCol w:w="1121"/>
        <w:gridCol w:w="1122"/>
        <w:gridCol w:w="1122"/>
        <w:gridCol w:w="1122"/>
        <w:gridCol w:w="1122"/>
        <w:gridCol w:w="1262"/>
        <w:gridCol w:w="1122"/>
        <w:gridCol w:w="1263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здания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Этажность здания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4, 5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6, 7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8, 9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выше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строках 3–6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технопарки, склады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(офисы)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Удельный расход тепловой энергии на отопление и вентиляцию здания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отопительный период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q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кВт ч/(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·год) или, кВт ч/(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·год) 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определять по формулам: </w:t>
            </w:r>
            <w:r>
              <w:drawing>
                <wp:inline distT="0" distB="0" distL="0" distR="0">
                  <wp:extent cx="17653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кВт ч/(м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·год);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кВт ч/(м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·год);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q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удельная характеристика расхода тепловой энергии на отопление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вентиляцию зданий, 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h - средняя высота этажа здания.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(«теплозащитная») характеристика, 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- равна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 тепловой энергии, теряемой теплопередачей через оболочку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отапливаемого объема здания в единицу времени (в секунду)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перепаде температуры воздуха в 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Если умножить удельную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теплозащитную характеристику на ГСОП и на размерный коэффициент 0,024,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получится количество тепловой энергии в кВт·ч, которое теряется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оболочку здания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отапливаемого объема за отопительный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это количество умножить на высоту этажа, то получится «удельный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отопление здания», обусловленный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теплопотерями через оболочку здания, измеряемый в кВт·ч/(м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·год).</w:t>
            </w:r>
          </w:p>
        </w:tc>
      </w:tr>
    </w:tbl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по энергоэффективности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зданий, строений, сооружений и их элементов,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частью ограждающих конструкций  </w:t>
      </w:r>
    </w:p>
    <w:bookmarkEnd w:id="11"/>
    <w:bookmarkStart w:name="z5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Базовые значения требуемого (нормируемого) сопротивления</w:t>
      </w:r>
      <w:r>
        <w:br/>
      </w:r>
      <w:r>
        <w:rPr>
          <w:rFonts w:ascii="Times New Roman"/>
          <w:b/>
          <w:i w:val="false"/>
          <w:color w:val="000000"/>
        </w:rPr>
        <w:t>
теплопередаче ограждающих конструкций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2193"/>
        <w:gridCol w:w="6679"/>
        <w:gridCol w:w="1138"/>
        <w:gridCol w:w="1138"/>
        <w:gridCol w:w="1138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Здания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коэффициенты а и b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Нормируемые значения сопротивления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теплопередаче </w:t>
            </w:r>
            <w:r>
              <w:drawing>
                <wp:inline distT="0" distB="0" distL="0" distR="0">
                  <wp:extent cx="3302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м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С/Вт, ограждающих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конструкций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Градусо-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сутки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отопи-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ГСОП,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С·сут/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Покры-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крытий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проез-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дами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крытий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чердач-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неотап-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ливае-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мыми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польями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под-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валами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Окон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балкон-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дверей,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витрин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вит-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ражей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Фонарей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вер-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тикаль-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остек-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лением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586"/>
        <w:gridCol w:w="1726"/>
        <w:gridCol w:w="1623"/>
        <w:gridCol w:w="1683"/>
        <w:gridCol w:w="1684"/>
        <w:gridCol w:w="1790"/>
        <w:gridCol w:w="1740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0,00035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0,00045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b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бытовые,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помещения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мокрым режимом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0,00035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0,00005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b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сухим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режимами*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0,000025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b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drawing>
                <wp:inline distT="0" distB="0" distL="0" distR="0">
                  <wp:extent cx="3302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базовое значение требуемого (нормируемого) сопротивления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теплопередаче ограждающих конструкций,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С/Вт.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Значения </w:t>
            </w:r>
            <w:r>
              <w:drawing>
                <wp:inline distT="0" distB="0" distL="0" distR="0">
                  <wp:extent cx="3302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величин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ГСОП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отличающихся от табличных, следует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по формуле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145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где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ГСОП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— градусо-сутки отопительного периода,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С·сут/год,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конкретного пункта;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— коэффициенты, значения которых следует принимать 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соответствующих групп зданий, за исключением графы 6;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зданий в поз. 1, где для интервала до 6000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С·сут/год: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0,000075,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0,15; для интервала 6000-8000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С·сут/год: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0,00005,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0,3; для интервала 8000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С·сут/год и более: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0,000025;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0,5.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Нормируемое приведенное сопротивление теплопередаче глухой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балконных дверей должно быть не менее чем в 1,5 раза выше нормируемого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теплопередаче светопрозрачной части этих конструкций.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*Для зданий с избытками явной теплоты более 23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сопротивления теплопередаче, должны определяться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технических условиях, для каждого конкретного здания.</w:t>
            </w:r>
          </w:p>
        </w:tc>
      </w:tr>
    </w:tbl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Требованиям по энергоэффективности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зданий, строений, сооружений и их элементов,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являющихся частью ограждающих конструкций  </w:t>
      </w:r>
    </w:p>
    <w:bookmarkEnd w:id="13"/>
    <w:bookmarkStart w:name="z6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Нормируемые значения удельной теплозащитной характеристики</w:t>
      </w:r>
      <w:r>
        <w:br/>
      </w:r>
      <w:r>
        <w:rPr>
          <w:rFonts w:ascii="Times New Roman"/>
          <w:b/>
          <w:i w:val="false"/>
          <w:color w:val="000000"/>
        </w:rPr>
        <w:t>
здания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2686"/>
        <w:gridCol w:w="1965"/>
        <w:gridCol w:w="1965"/>
        <w:gridCol w:w="1966"/>
        <w:gridCol w:w="1966"/>
        <w:gridCol w:w="2561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Отаплива-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емый объем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здания,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</w:t>
            </w:r>
            <w:r>
              <w:rPr>
                <w:rFonts w:ascii="Times New Roman"/>
                <w:b/>
                <w:i w:val="false"/>
                <w:color w:val="000000"/>
                <w:vertAlign w:val="subscript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, м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</w:t>
            </w:r>
            <w:r>
              <w:drawing>
                <wp:inline distT="0" distB="0" distL="0" distR="0">
                  <wp:extent cx="4191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Вт/(м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*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С), при значениях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ГСОП,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сут/год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0,429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0,759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0,606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0,486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0,218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0,175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0,146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0,124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0,269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drawing>
                <wp:inline distT="0" distB="0" distL="0" distR="0">
                  <wp:extent cx="4191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нормируемое значение удельной теплозащитной 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Вт/(м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промежуточных величин объема зданий и ГСОП, а также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 отапливаемого объема здания, превышающих 200000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drawing>
                <wp:inline distT="0" distB="0" distL="0" distR="0">
                  <wp:extent cx="4191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рассчитываются по формулам, изложенным в СН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2.04-04-2011.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