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a153" w14:textId="bcda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продуктов переработки сырой нефти вне таможенной территории, при неосуществлении фактического ввоза в Республику Казахстан которых юридическое лицо не является плательщиком рентного налога на экспорт и применяется понижающий коэффициент 0,5 к установленным ставкам налога на добычу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2012 года № 1191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статьи 300,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 статьи 332 и </w:t>
      </w:r>
      <w:r>
        <w:rPr>
          <w:rFonts w:ascii="Times New Roman"/>
          <w:b w:val="false"/>
          <w:i w:val="false"/>
          <w:color w:val="000000"/>
          <w:sz w:val="28"/>
        </w:rPr>
        <w:t>статьей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продуктов переработки сырой нефти вне таможенной территории, при неосуществлении фактического ввоза в Республику Казахстан которых юридическое лицо не является плательщиком рентного налога на экспорт и применяется понижающий коэффициент 0,5 к установленным ставкам налога на добычу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действует до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2012 года № 1191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продуктов переработки сырой нефти вне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территории, при неосуществлении фактического ввоза в Республику</w:t>
      </w:r>
      <w:r>
        <w:br/>
      </w:r>
      <w:r>
        <w:rPr>
          <w:rFonts w:ascii="Times New Roman"/>
          <w:b/>
          <w:i w:val="false"/>
          <w:color w:val="000000"/>
        </w:rPr>
        <w:t>
Казахстан которых юридическое лицо не является плательщиком</w:t>
      </w:r>
      <w:r>
        <w:br/>
      </w:r>
      <w:r>
        <w:rPr>
          <w:rFonts w:ascii="Times New Roman"/>
          <w:b/>
          <w:i w:val="false"/>
          <w:color w:val="000000"/>
        </w:rPr>
        <w:t>
рентного налога на экспорт и применяется понижающий коэффициент</w:t>
      </w:r>
      <w:r>
        <w:br/>
      </w:r>
      <w:r>
        <w:rPr>
          <w:rFonts w:ascii="Times New Roman"/>
          <w:b/>
          <w:i w:val="false"/>
          <w:color w:val="000000"/>
        </w:rPr>
        <w:t>
0,5 к установленным ставкам налога на добычу полезных</w:t>
      </w:r>
      <w:r>
        <w:br/>
      </w:r>
      <w:r>
        <w:rPr>
          <w:rFonts w:ascii="Times New Roman"/>
          <w:b/>
          <w:i w:val="false"/>
          <w:color w:val="000000"/>
        </w:rPr>
        <w:t>
ископаемых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11519"/>
      </w:tblGrid>
      <w:tr>
        <w:trPr>
          <w:trHeight w:val="43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более 0,2 мас.%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топлива жидкие: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не более 1 мас.%</w:t>
            </w:r>
          </w:p>
        </w:tc>
      </w:tr>
      <w:tr>
        <w:trPr>
          <w:trHeight w:val="51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2710 19 640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более 1 мас.%, но не более 2 мас.%</w:t>
            </w:r>
          </w:p>
        </w:tc>
      </w:tr>
      <w:tr>
        <w:trPr>
          <w:trHeight w:val="51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2710 19 660 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более 2 мас.%, но не более 2,8 мас.%</w:t>
            </w:r>
          </w:p>
        </w:tc>
      </w:tr>
      <w:tr>
        <w:trPr>
          <w:trHeight w:val="51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2710 91 000 0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полихлорбифенилы, полихлортрифенилы или полибромбифенилы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2710 99 000 0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151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 нефтяной; парафин, воск нефтяной микрокристаллический, гач парафиновый, озокерит, воск буроугольный, воск торфяной, прочие минеральные воски и аналогичные продукты, полученные в результате синтеза или других процессов, окрашенные или неокрашенные: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2712 10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вазелин нефтяной: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2712 10 100 0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сырой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2712 10 900 0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2712 20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парафин с содержанием масел менее 0,75 мас.%:</w:t>
            </w:r>
          </w:p>
        </w:tc>
      </w:tr>
      <w:tr>
        <w:trPr>
          <w:trHeight w:val="51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2712 20 100 0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парафин синтетический с молекулярной массой 460 и более, но не более 1560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2712 20 900 0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2712 90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51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озокерит, воск буроугольный или воск торфяной (природные продукты):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2712 90 110 0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сырые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2712 90 190 0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сырые: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2712 90 310 0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специфических процессов переработки</w:t>
            </w:r>
          </w:p>
        </w:tc>
      </w:tr>
      <w:tr>
        <w:trPr>
          <w:trHeight w:val="51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2712 90 330 0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химических превращений в процессах, кроме указанных в подсубпозиции 2712 90 310 0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2712 90 390 0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76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2712 90 910 0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смесь 1-алкенов, содержащая 80 мас.% или более 1-алкенов с длиной углеродной цепи в 24 атома углерода и более, но не более 28 атомов углерода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2712 90 990 0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76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нефтяной, битум нефтяной и прочие остатки от переработки нефти или нефтепродуктов, полученных из битуминозных пород: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кокс нефтяной: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2713 11 000 0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некальцинированный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2713 12 000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кальцинированный</w:t>
            </w:r>
          </w:p>
        </w:tc>
      </w:tr>
      <w:tr>
        <w:trPr>
          <w:trHeight w:val="51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остатки от переработки нефти или нефтепродуктов, полученных из битуминозных пород: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2713 90 100 0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получения продуктов товарной позиции 2803</w:t>
            </w:r>
          </w:p>
        </w:tc>
      </w:tr>
      <w:tr>
        <w:trPr>
          <w:trHeight w:val="25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