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ee2" w14:textId="8f93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Таможенного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Таможенного союза, облагаются налогом на добавленную стоимость по нулевой ставке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2012 года № 1214.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Таможенного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Таможенного союза, облагаются налогом на добавленную стоимость по нулевой ставке.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года № 1214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деятельность в рамках</w:t>
      </w:r>
      <w:r>
        <w:br/>
      </w:r>
      <w:r>
        <w:rPr>
          <w:rFonts w:ascii="Times New Roman"/>
          <w:b/>
          <w:i w:val="false"/>
          <w:color w:val="000000"/>
        </w:rPr>
        <w:t>межправительственного соглашения о сотрудничестве в газовой</w:t>
      </w:r>
      <w:r>
        <w:br/>
      </w:r>
      <w:r>
        <w:rPr>
          <w:rFonts w:ascii="Times New Roman"/>
          <w:b/>
          <w:i w:val="false"/>
          <w:color w:val="000000"/>
        </w:rPr>
        <w:t>отрасли, обороты которых по реализации на территории другого</w:t>
      </w:r>
      <w:r>
        <w:br/>
      </w:r>
      <w:r>
        <w:rPr>
          <w:rFonts w:ascii="Times New Roman"/>
          <w:b/>
          <w:i w:val="false"/>
          <w:color w:val="000000"/>
        </w:rPr>
        <w:t>государства-члена Таможенного союза продуктов переработки из</w:t>
      </w:r>
      <w:r>
        <w:br/>
      </w:r>
      <w:r>
        <w:rPr>
          <w:rFonts w:ascii="Times New Roman"/>
          <w:b/>
          <w:i w:val="false"/>
          <w:color w:val="000000"/>
        </w:rPr>
        <w:t>давальческого сырья, ранее вывезенного этими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налогоплательщиками с территории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переработанного на территории такого другого государства-члена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союза, облагаются налогом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по нулевой ставке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Налогоплательщик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