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3ae8" w14:textId="b5b3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2012 года № 1379. Утратило силу постановлением Правительства Республики Казахстан от 21 мая 2018 года № 282 (вводится в действие с 1 января 2018 года)</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21.05.2018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01.01.2018).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307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апреля 2009 года № 492 "Об утверждении Правил отнесения контракта на недропользование, предусматривающего разработку месторождения твердых видов полезных ископаемых, за исключением общераспространенных, к категории низкорентабельных" (САПП Республики Казахстан, 2009 г., № 18, ст. 162).</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октября 2012 года № 1379 </w:t>
            </w:r>
          </w:p>
        </w:tc>
      </w:tr>
    </w:tbl>
    <w:bookmarkStart w:name="z6" w:id="4"/>
    <w:p>
      <w:pPr>
        <w:spacing w:after="0"/>
        <w:ind w:left="0"/>
        <w:jc w:val="left"/>
      </w:pPr>
      <w:r>
        <w:rPr>
          <w:rFonts w:ascii="Times New Roman"/>
          <w:b/>
          <w:i w:val="false"/>
          <w:color w:val="000000"/>
        </w:rPr>
        <w:t xml:space="preserve"> Правила отнесения месторождения</w:t>
      </w:r>
      <w:r>
        <w:br/>
      </w:r>
      <w:r>
        <w:rPr>
          <w:rFonts w:ascii="Times New Roman"/>
          <w:b/>
          <w:i w:val="false"/>
          <w:color w:val="000000"/>
        </w:rPr>
        <w:t>(группы месторождений, части месторождения) твердых видов</w:t>
      </w:r>
      <w:r>
        <w:br/>
      </w:r>
      <w:r>
        <w:rPr>
          <w:rFonts w:ascii="Times New Roman"/>
          <w:b/>
          <w:i w:val="false"/>
          <w:color w:val="000000"/>
        </w:rPr>
        <w:t>полезных ископаемых, за исключением общераспространенных,</w:t>
      </w:r>
      <w:r>
        <w:br/>
      </w:r>
      <w:r>
        <w:rPr>
          <w:rFonts w:ascii="Times New Roman"/>
          <w:b/>
          <w:i w:val="false"/>
          <w:color w:val="000000"/>
        </w:rPr>
        <w:t>к категории низкорентабельных и налогообложения в части налога</w:t>
      </w:r>
      <w:r>
        <w:br/>
      </w:r>
      <w:r>
        <w:rPr>
          <w:rFonts w:ascii="Times New Roman"/>
          <w:b/>
          <w:i w:val="false"/>
          <w:color w:val="000000"/>
        </w:rPr>
        <w:t>на добычу полезных ископаемых</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 (далее - Правила) разработаны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статьи 307 Кодекса Республики Казахстан от 10 декабря 2008 года "О налогах и других обязательных платежах в бюджет" (далее - Налоговый кодекс).</w:t>
      </w:r>
    </w:p>
    <w:bookmarkEnd w:id="5"/>
    <w:bookmarkStart w:name="z9" w:id="6"/>
    <w:p>
      <w:pPr>
        <w:spacing w:after="0"/>
        <w:ind w:left="0"/>
        <w:jc w:val="both"/>
      </w:pPr>
      <w:r>
        <w:rPr>
          <w:rFonts w:ascii="Times New Roman"/>
          <w:b w:val="false"/>
          <w:i w:val="false"/>
          <w:color w:val="000000"/>
          <w:sz w:val="28"/>
        </w:rPr>
        <w:t>
      2. Правила устанавливают порядок подачи и рассмотрения заявлений об отнесении месторождения (группы месторождений, части месторождения) твердых видов полезных ископаемых к категории низкорентабельных и критерии отнесения месторождения (группы месторождений, части месторождения) к категории низкорентабельных.</w:t>
      </w:r>
    </w:p>
    <w:bookmarkEnd w:id="6"/>
    <w:bookmarkStart w:name="z10" w:id="7"/>
    <w:p>
      <w:pPr>
        <w:spacing w:after="0"/>
        <w:ind w:left="0"/>
        <w:jc w:val="left"/>
      </w:pPr>
      <w:r>
        <w:rPr>
          <w:rFonts w:ascii="Times New Roman"/>
          <w:b/>
          <w:i w:val="false"/>
          <w:color w:val="000000"/>
        </w:rPr>
        <w:t xml:space="preserve"> 2. Порядок подачи и рассмотрения заявлений об отнесении</w:t>
      </w:r>
      <w:r>
        <w:br/>
      </w:r>
      <w:r>
        <w:rPr>
          <w:rFonts w:ascii="Times New Roman"/>
          <w:b/>
          <w:i w:val="false"/>
          <w:color w:val="000000"/>
        </w:rPr>
        <w:t>месторождения (группы месторождений, части месторождения)</w:t>
      </w:r>
      <w:r>
        <w:br/>
      </w:r>
      <w:r>
        <w:rPr>
          <w:rFonts w:ascii="Times New Roman"/>
          <w:b/>
          <w:i w:val="false"/>
          <w:color w:val="000000"/>
        </w:rPr>
        <w:t>твердых видов полезных ископаемых к категории</w:t>
      </w:r>
      <w:r>
        <w:br/>
      </w:r>
      <w:r>
        <w:rPr>
          <w:rFonts w:ascii="Times New Roman"/>
          <w:b/>
          <w:i w:val="false"/>
          <w:color w:val="000000"/>
        </w:rPr>
        <w:t>низкорентабельных</w:t>
      </w:r>
    </w:p>
    <w:bookmarkEnd w:id="7"/>
    <w:bookmarkStart w:name="z11" w:id="8"/>
    <w:p>
      <w:pPr>
        <w:spacing w:after="0"/>
        <w:ind w:left="0"/>
        <w:jc w:val="both"/>
      </w:pPr>
      <w:r>
        <w:rPr>
          <w:rFonts w:ascii="Times New Roman"/>
          <w:b w:val="false"/>
          <w:i w:val="false"/>
          <w:color w:val="000000"/>
          <w:sz w:val="28"/>
        </w:rPr>
        <w:t xml:space="preserve">
      3. Для отнесения месторождения (группы месторождений, части месторождения) к категории низкорентабельных недропользователь, осуществляющий деятельность по контракту на недропользование, предусматривающему разработку месторождения (группы месторождений, части месторождения), в том числе заключенному до 1 января 2009 года,  соответствующему критериям, определенным </w:t>
      </w:r>
      <w:r>
        <w:rPr>
          <w:rFonts w:ascii="Times New Roman"/>
          <w:b w:val="false"/>
          <w:i w:val="false"/>
          <w:color w:val="000000"/>
          <w:sz w:val="28"/>
        </w:rPr>
        <w:t>главой 3</w:t>
      </w:r>
      <w:r>
        <w:rPr>
          <w:rFonts w:ascii="Times New Roman"/>
          <w:b w:val="false"/>
          <w:i w:val="false"/>
          <w:color w:val="000000"/>
          <w:sz w:val="28"/>
        </w:rPr>
        <w:t xml:space="preserve"> настоящих Правил,  обращается в уполномоченный орган по государственному планированию (далее - уполномоченный орган) с заявлением.</w:t>
      </w:r>
    </w:p>
    <w:bookmarkEnd w:id="8"/>
    <w:bookmarkStart w:name="z12" w:id="9"/>
    <w:p>
      <w:pPr>
        <w:spacing w:after="0"/>
        <w:ind w:left="0"/>
        <w:jc w:val="both"/>
      </w:pPr>
      <w:r>
        <w:rPr>
          <w:rFonts w:ascii="Times New Roman"/>
          <w:b w:val="false"/>
          <w:i w:val="false"/>
          <w:color w:val="000000"/>
          <w:sz w:val="28"/>
        </w:rPr>
        <w:t xml:space="preserve">
      4. Заявление об отнесении месторождения (группы месторождений, части месторождения) к категории низкорентабельных на текущий незавершенный календарный год подается в срок не позднее 1 сентября календарного года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К заявлению должны быть приложены следующие документы:</w:t>
      </w:r>
    </w:p>
    <w:bookmarkEnd w:id="9"/>
    <w:bookmarkStart w:name="z13" w:id="10"/>
    <w:p>
      <w:pPr>
        <w:spacing w:after="0"/>
        <w:ind w:left="0"/>
        <w:jc w:val="both"/>
      </w:pPr>
      <w:r>
        <w:rPr>
          <w:rFonts w:ascii="Times New Roman"/>
          <w:b w:val="false"/>
          <w:i w:val="false"/>
          <w:color w:val="000000"/>
          <w:sz w:val="28"/>
        </w:rPr>
        <w:t>
      1) оригинал или нотариально засвидетельствованная копия финансовой отчетности за предыдущий финансовый год, подписанный первым руководителем или лицом, его замещающим, а также главным бухгалтером (бухгалтером);</w:t>
      </w:r>
    </w:p>
    <w:bookmarkEnd w:id="10"/>
    <w:bookmarkStart w:name="z14" w:id="11"/>
    <w:p>
      <w:pPr>
        <w:spacing w:after="0"/>
        <w:ind w:left="0"/>
        <w:jc w:val="both"/>
      </w:pPr>
      <w:r>
        <w:rPr>
          <w:rFonts w:ascii="Times New Roman"/>
          <w:b w:val="false"/>
          <w:i w:val="false"/>
          <w:color w:val="000000"/>
          <w:sz w:val="28"/>
        </w:rPr>
        <w:t xml:space="preserve">
      2) оригинал или нотариально засвидетельствованная копия аудиторского отчета за предыдущий финансовый год юридических лиц, для которых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установлено обязательное проведение аудита. В случае, если заявка подается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предыдущему финансовому году;</w:t>
      </w:r>
    </w:p>
    <w:bookmarkEnd w:id="11"/>
    <w:bookmarkStart w:name="z15" w:id="12"/>
    <w:p>
      <w:pPr>
        <w:spacing w:after="0"/>
        <w:ind w:left="0"/>
        <w:jc w:val="both"/>
      </w:pPr>
      <w:r>
        <w:rPr>
          <w:rFonts w:ascii="Times New Roman"/>
          <w:b w:val="false"/>
          <w:i w:val="false"/>
          <w:color w:val="000000"/>
          <w:sz w:val="28"/>
        </w:rPr>
        <w:t>
      3) оригинал или нотариально засвидетельствованная копия финансовой отчетности юридического лица за истекший период текущего финансового года по состоянию не ранее чем за девяносто дней, предшествующих дате подачи заявления;</w:t>
      </w:r>
    </w:p>
    <w:bookmarkEnd w:id="12"/>
    <w:bookmarkStart w:name="z16" w:id="13"/>
    <w:p>
      <w:pPr>
        <w:spacing w:after="0"/>
        <w:ind w:left="0"/>
        <w:jc w:val="both"/>
      </w:pPr>
      <w:r>
        <w:rPr>
          <w:rFonts w:ascii="Times New Roman"/>
          <w:b w:val="false"/>
          <w:i w:val="false"/>
          <w:color w:val="000000"/>
          <w:sz w:val="28"/>
        </w:rPr>
        <w:t xml:space="preserve">
      4) отчет об исполнении бюджета за предыдущий календарный год, заверенный руководителем юридического лица или лицом, его замещающим; </w:t>
      </w:r>
    </w:p>
    <w:bookmarkEnd w:id="13"/>
    <w:bookmarkStart w:name="z17" w:id="14"/>
    <w:p>
      <w:pPr>
        <w:spacing w:after="0"/>
        <w:ind w:left="0"/>
        <w:jc w:val="both"/>
      </w:pPr>
      <w:r>
        <w:rPr>
          <w:rFonts w:ascii="Times New Roman"/>
          <w:b w:val="false"/>
          <w:i w:val="false"/>
          <w:color w:val="000000"/>
          <w:sz w:val="28"/>
        </w:rPr>
        <w:t>
      5) расчет бюджета на текущий календарный год, заверенный руководителем юридического лица или лицом, его замещающим;</w:t>
      </w:r>
    </w:p>
    <w:bookmarkEnd w:id="14"/>
    <w:bookmarkStart w:name="z18" w:id="15"/>
    <w:p>
      <w:pPr>
        <w:spacing w:after="0"/>
        <w:ind w:left="0"/>
        <w:jc w:val="both"/>
      </w:pPr>
      <w:r>
        <w:rPr>
          <w:rFonts w:ascii="Times New Roman"/>
          <w:b w:val="false"/>
          <w:i w:val="false"/>
          <w:color w:val="000000"/>
          <w:sz w:val="28"/>
        </w:rPr>
        <w:t>
      6) отчет об исполнении бюджета за текущий календарный год по состоянию не ранее чем за девяносто дней, предшествующих дате подачи заявления, заверенный руководителем юридического лица или лицом, его замещающим;</w:t>
      </w:r>
    </w:p>
    <w:bookmarkEnd w:id="15"/>
    <w:bookmarkStart w:name="z19" w:id="16"/>
    <w:p>
      <w:pPr>
        <w:spacing w:after="0"/>
        <w:ind w:left="0"/>
        <w:jc w:val="both"/>
      </w:pPr>
      <w:r>
        <w:rPr>
          <w:rFonts w:ascii="Times New Roman"/>
          <w:b w:val="false"/>
          <w:i w:val="false"/>
          <w:color w:val="000000"/>
          <w:sz w:val="28"/>
        </w:rPr>
        <w:t>
      7) налоговая отчетность по корпоративному подоходному налогу (далее - КПН) и налогу на сверхприбыль (далее - НСП) по контракту за предыдущий налоговый период;</w:t>
      </w:r>
    </w:p>
    <w:bookmarkEnd w:id="16"/>
    <w:bookmarkStart w:name="z20" w:id="17"/>
    <w:p>
      <w:pPr>
        <w:spacing w:after="0"/>
        <w:ind w:left="0"/>
        <w:jc w:val="both"/>
      </w:pPr>
      <w:r>
        <w:rPr>
          <w:rFonts w:ascii="Times New Roman"/>
          <w:b w:val="false"/>
          <w:i w:val="false"/>
          <w:color w:val="000000"/>
          <w:sz w:val="28"/>
        </w:rPr>
        <w:t>
      8) расчет авансовых платежей по КПН (если недропользователь является плательщиком авансовых платежей) и расчет запланированного на текущий отчетный год размера КПН;</w:t>
      </w:r>
    </w:p>
    <w:bookmarkEnd w:id="17"/>
    <w:bookmarkStart w:name="z21" w:id="18"/>
    <w:p>
      <w:pPr>
        <w:spacing w:after="0"/>
        <w:ind w:left="0"/>
        <w:jc w:val="both"/>
      </w:pPr>
      <w:r>
        <w:rPr>
          <w:rFonts w:ascii="Times New Roman"/>
          <w:b w:val="false"/>
          <w:i w:val="false"/>
          <w:color w:val="000000"/>
          <w:sz w:val="28"/>
        </w:rPr>
        <w:t>
      9) расчет налоговых обязательств по КПН, а также расчет чистого дохода, рентабельности продаж по контракту за текущий налоговый период с детальной привязкой данных расчетов к бюджету юридического лица за этот же период;</w:t>
      </w:r>
    </w:p>
    <w:bookmarkEnd w:id="18"/>
    <w:bookmarkStart w:name="z22" w:id="19"/>
    <w:p>
      <w:pPr>
        <w:spacing w:after="0"/>
        <w:ind w:left="0"/>
        <w:jc w:val="both"/>
      </w:pPr>
      <w:r>
        <w:rPr>
          <w:rFonts w:ascii="Times New Roman"/>
          <w:b w:val="false"/>
          <w:i w:val="false"/>
          <w:color w:val="000000"/>
          <w:sz w:val="28"/>
        </w:rPr>
        <w:t>
      10) обоснование средней цены на минеральное сырье, полезное ископаемое, металл, использованной для расчетов показателей рентабельности по контракту.</w:t>
      </w:r>
    </w:p>
    <w:bookmarkEnd w:id="19"/>
    <w:bookmarkStart w:name="z23" w:id="20"/>
    <w:p>
      <w:pPr>
        <w:spacing w:after="0"/>
        <w:ind w:left="0"/>
        <w:jc w:val="both"/>
      </w:pPr>
      <w:r>
        <w:rPr>
          <w:rFonts w:ascii="Times New Roman"/>
          <w:b w:val="false"/>
          <w:i w:val="false"/>
          <w:color w:val="000000"/>
          <w:sz w:val="28"/>
        </w:rPr>
        <w:t xml:space="preserve">
      5. Заявление об отнесении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в предстоящем календарном году подается не ранее 1 сентября текущего календарного года, но не позднее 1 декабря текущего календарного года, к которому должны быть приложены помимо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следующие:</w:t>
      </w:r>
    </w:p>
    <w:bookmarkEnd w:id="20"/>
    <w:bookmarkStart w:name="z24" w:id="21"/>
    <w:p>
      <w:pPr>
        <w:spacing w:after="0"/>
        <w:ind w:left="0"/>
        <w:jc w:val="both"/>
      </w:pPr>
      <w:r>
        <w:rPr>
          <w:rFonts w:ascii="Times New Roman"/>
          <w:b w:val="false"/>
          <w:i w:val="false"/>
          <w:color w:val="000000"/>
          <w:sz w:val="28"/>
        </w:rPr>
        <w:t>
      1) расчет бюджета на предстоящий календарный год, заверенный руководителем юридического лица или лицом, его замещающим;</w:t>
      </w:r>
    </w:p>
    <w:bookmarkEnd w:id="21"/>
    <w:bookmarkStart w:name="z25" w:id="22"/>
    <w:p>
      <w:pPr>
        <w:spacing w:after="0"/>
        <w:ind w:left="0"/>
        <w:jc w:val="both"/>
      </w:pPr>
      <w:r>
        <w:rPr>
          <w:rFonts w:ascii="Times New Roman"/>
          <w:b w:val="false"/>
          <w:i w:val="false"/>
          <w:color w:val="000000"/>
          <w:sz w:val="28"/>
        </w:rPr>
        <w:t>
      2) расчет налоговых обязательств компании по КПН по контракту,  а также расчет чистого дохода, рентабельности продаж по контракту за предстоящий календарный год с детальной привязкой данных расчетов к  бюджету юридического лица за этот же отчетный период.</w:t>
      </w:r>
    </w:p>
    <w:bookmarkEnd w:id="22"/>
    <w:bookmarkStart w:name="z26" w:id="23"/>
    <w:p>
      <w:pPr>
        <w:spacing w:after="0"/>
        <w:ind w:left="0"/>
        <w:jc w:val="both"/>
      </w:pPr>
      <w:r>
        <w:rPr>
          <w:rFonts w:ascii="Times New Roman"/>
          <w:b w:val="false"/>
          <w:i w:val="false"/>
          <w:color w:val="000000"/>
          <w:sz w:val="28"/>
        </w:rPr>
        <w:t xml:space="preserve">
      При этом сведения, указанные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w:t>
      </w:r>
      <w:r>
        <w:rPr>
          <w:rFonts w:ascii="Times New Roman"/>
          <w:b w:val="false"/>
          <w:i w:val="false"/>
          <w:color w:val="000000"/>
          <w:sz w:val="28"/>
        </w:rPr>
        <w:t>4</w:t>
      </w:r>
      <w:r>
        <w:rPr>
          <w:rFonts w:ascii="Times New Roman"/>
          <w:b w:val="false"/>
          <w:i w:val="false"/>
          <w:color w:val="000000"/>
          <w:sz w:val="28"/>
        </w:rPr>
        <w:t>настоящих Правил, представляются за 9 истекших месяцев текущего календарного года.</w:t>
      </w:r>
    </w:p>
    <w:bookmarkEnd w:id="23"/>
    <w:bookmarkStart w:name="z27" w:id="24"/>
    <w:p>
      <w:pPr>
        <w:spacing w:after="0"/>
        <w:ind w:left="0"/>
        <w:jc w:val="both"/>
      </w:pPr>
      <w:r>
        <w:rPr>
          <w:rFonts w:ascii="Times New Roman"/>
          <w:b w:val="false"/>
          <w:i w:val="false"/>
          <w:color w:val="000000"/>
          <w:sz w:val="28"/>
        </w:rPr>
        <w:t>
      6. При необходимости уполномоченный орган в срок не позднее пяти рабочих дней после поступления заявления может запросить у заявителя другие документы и расчеты, обосновывающие сведения, содержащиеся в заявлении.</w:t>
      </w:r>
    </w:p>
    <w:bookmarkEnd w:id="24"/>
    <w:bookmarkStart w:name="z28" w:id="25"/>
    <w:p>
      <w:pPr>
        <w:spacing w:after="0"/>
        <w:ind w:left="0"/>
        <w:jc w:val="both"/>
      </w:pPr>
      <w:r>
        <w:rPr>
          <w:rFonts w:ascii="Times New Roman"/>
          <w:b w:val="false"/>
          <w:i w:val="false"/>
          <w:color w:val="000000"/>
          <w:sz w:val="28"/>
        </w:rPr>
        <w:t>
      Заявитель после получения соответствующего запроса уполномоченного органа в срок не позднее десяти рабочих дней представляет в уполномоченный орган документы и расчеты, обосновывающие сведения, содержащиеся в заявлении, запрашиваемые согласно настоящему пункту Правил.</w:t>
      </w:r>
    </w:p>
    <w:bookmarkEnd w:id="25"/>
    <w:bookmarkStart w:name="z29" w:id="26"/>
    <w:p>
      <w:pPr>
        <w:spacing w:after="0"/>
        <w:ind w:left="0"/>
        <w:jc w:val="both"/>
      </w:pPr>
      <w:r>
        <w:rPr>
          <w:rFonts w:ascii="Times New Roman"/>
          <w:b w:val="false"/>
          <w:i w:val="false"/>
          <w:color w:val="000000"/>
          <w:sz w:val="28"/>
        </w:rPr>
        <w:t xml:space="preserve">
      7. Уполномоченный орган в срок не позднее пяти рабочих дней после поступления заявления и (или) дополнительных документов и расчетов, обосновывающих сведения, содержащиеся в заявлении, в случае  представления неполных сведений в документах, представляемых заявителем, и (или) непредставления документов или представления неполного перечня документов,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(или) </w:t>
      </w:r>
      <w:r>
        <w:rPr>
          <w:rFonts w:ascii="Times New Roman"/>
          <w:b w:val="false"/>
          <w:i w:val="false"/>
          <w:color w:val="000000"/>
          <w:sz w:val="28"/>
        </w:rPr>
        <w:t>5</w:t>
      </w:r>
      <w:r>
        <w:rPr>
          <w:rFonts w:ascii="Times New Roman"/>
          <w:b w:val="false"/>
          <w:i w:val="false"/>
          <w:color w:val="000000"/>
          <w:sz w:val="28"/>
        </w:rPr>
        <w:t xml:space="preserve"> настоящих Правил, а также документов и расчетов запрашиваемых уполномоченным органом, согласно </w:t>
      </w:r>
      <w:r>
        <w:rPr>
          <w:rFonts w:ascii="Times New Roman"/>
          <w:b w:val="false"/>
          <w:i w:val="false"/>
          <w:color w:val="000000"/>
          <w:sz w:val="28"/>
        </w:rPr>
        <w:t>пункта 6</w:t>
      </w:r>
      <w:r>
        <w:rPr>
          <w:rFonts w:ascii="Times New Roman"/>
          <w:b w:val="false"/>
          <w:i w:val="false"/>
          <w:color w:val="000000"/>
          <w:sz w:val="28"/>
        </w:rPr>
        <w:t xml:space="preserve"> настоящих Правил, или подачи заявления с нарушением требований, установленных настоящими Правилами, направляет мотивированный отказ в рассмотрении заявления.</w:t>
      </w:r>
    </w:p>
    <w:bookmarkEnd w:id="26"/>
    <w:bookmarkStart w:name="z30" w:id="27"/>
    <w:p>
      <w:pPr>
        <w:spacing w:after="0"/>
        <w:ind w:left="0"/>
        <w:jc w:val="both"/>
      </w:pPr>
      <w:r>
        <w:rPr>
          <w:rFonts w:ascii="Times New Roman"/>
          <w:b w:val="false"/>
          <w:i w:val="false"/>
          <w:color w:val="000000"/>
          <w:sz w:val="28"/>
        </w:rPr>
        <w:t>
      8. Уполномоченный орган в срок не позднее пяти рабочих дней после принятия заявления к рассмотрению направляет копии заявления и прилагаемых к нему документов на рассмотрение нижеперечисленным государственным органам для подготовки заключений по вопросам:</w:t>
      </w:r>
    </w:p>
    <w:bookmarkEnd w:id="27"/>
    <w:bookmarkStart w:name="z31" w:id="28"/>
    <w:p>
      <w:pPr>
        <w:spacing w:after="0"/>
        <w:ind w:left="0"/>
        <w:jc w:val="both"/>
      </w:pPr>
      <w:r>
        <w:rPr>
          <w:rFonts w:ascii="Times New Roman"/>
          <w:b w:val="false"/>
          <w:i w:val="false"/>
          <w:color w:val="000000"/>
          <w:sz w:val="28"/>
        </w:rPr>
        <w:t>
      1) в Министерство финансов Республики Казахстан - для подтверждения данных налоговой отчетности;</w:t>
      </w:r>
    </w:p>
    <w:bookmarkEnd w:id="28"/>
    <w:bookmarkStart w:name="z32" w:id="29"/>
    <w:p>
      <w:pPr>
        <w:spacing w:after="0"/>
        <w:ind w:left="0"/>
        <w:jc w:val="both"/>
      </w:pPr>
      <w:r>
        <w:rPr>
          <w:rFonts w:ascii="Times New Roman"/>
          <w:b w:val="false"/>
          <w:i w:val="false"/>
          <w:color w:val="000000"/>
          <w:sz w:val="28"/>
        </w:rPr>
        <w:t xml:space="preserve">
      2) в Министерство по инвестициям и развитию Республики Казахстан – по вопросам обоснованности планируемых объемов добычи минерального сырья, полезного ископаемого, металла, и объема операций по недропользованию с учетом утвержденных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рабочих программ (годовых программ работ) и/или проектных решений и обязательств по контракту на недропользование и прогнозной цены на минеральное сырье, полезное ископаемое и металл за соответствующий календарный год, а также извлекаемости минерального сырья, полезного ископаемого и металла;</w:t>
      </w:r>
    </w:p>
    <w:bookmarkEnd w:id="29"/>
    <w:bookmarkStart w:name="z33" w:id="30"/>
    <w:p>
      <w:pPr>
        <w:spacing w:after="0"/>
        <w:ind w:left="0"/>
        <w:jc w:val="both"/>
      </w:pPr>
      <w:r>
        <w:rPr>
          <w:rFonts w:ascii="Times New Roman"/>
          <w:b w:val="false"/>
          <w:i w:val="false"/>
          <w:color w:val="000000"/>
          <w:sz w:val="28"/>
        </w:rPr>
        <w:t>
      3) иным государственным органам - по вопросам, входящим в их компетенцию, и поставленным уполномоченным органом в целях выработки  обоснованных решений по конкретным размерам индивидуальной ставки налога на добычу полезных ископаемых.</w:t>
      </w:r>
    </w:p>
    <w:bookmarkEnd w:id="30"/>
    <w:bookmarkStart w:name="z34" w:id="31"/>
    <w:p>
      <w:pPr>
        <w:spacing w:after="0"/>
        <w:ind w:left="0"/>
        <w:jc w:val="both"/>
      </w:pPr>
      <w:r>
        <w:rPr>
          <w:rFonts w:ascii="Times New Roman"/>
          <w:b w:val="false"/>
          <w:i w:val="false"/>
          <w:color w:val="000000"/>
          <w:sz w:val="28"/>
        </w:rPr>
        <w:t xml:space="preserve">
      Заключения соответствующих государственных органов должны быть представлены в уполномоченный орган в срок не позднее тридцати календарных дней с момента получения копии заявления и прилагаемых к нему документов от уполномоченного органа. Уполномоченный орган в  течение десяти рабочих дней с даты получения всех заключений соответствующих государственных органов производит расчет  рентабельности месторождения (группы месторождений, части месторождения) на основе представленных заявителем данных и подготавливает предложения по конкретным размерам индивидуальной ставки налога на добычу полезных ископаемых, устанавливаемых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и указанием календарного  года, в течение которого будут применяться такие ставки.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Правительства РК от 19.09.2014 </w:t>
      </w:r>
      <w:r>
        <w:rPr>
          <w:rFonts w:ascii="Times New Roman"/>
          <w:b w:val="false"/>
          <w:i w:val="false"/>
          <w:color w:val="000000"/>
          <w:sz w:val="28"/>
        </w:rPr>
        <w:t>№ 995</w:t>
      </w:r>
      <w:r>
        <w:rPr>
          <w:rFonts w:ascii="Times New Roman"/>
          <w:b w:val="false"/>
          <w:i w:val="false"/>
          <w:color w:val="ff0000"/>
          <w:sz w:val="28"/>
        </w:rPr>
        <w:t>.</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9. В срок не позднее пятнадцати рабочих дней с даты получения всех заключений соответствующих государственных органов, указанных в пункте 6 настоящих Правил, уполномоченный орган вносит заявление с приложением заключений государственных органов, расчетов рентабельности соответствующего месторождения (группы месторождений, части месторождения) и предложения по конкретным размерам индивидуальной ставки налога на добычу полезных ископаемых на рассмотрение межведомственной комиссии, образовываемой Премьер-Министром Республики Казахстан (далее – комиссия).</w:t>
      </w:r>
    </w:p>
    <w:bookmarkEnd w:id="32"/>
    <w:bookmarkStart w:name="z36" w:id="33"/>
    <w:p>
      <w:pPr>
        <w:spacing w:after="0"/>
        <w:ind w:left="0"/>
        <w:jc w:val="both"/>
      </w:pPr>
      <w:r>
        <w:rPr>
          <w:rFonts w:ascii="Times New Roman"/>
          <w:b w:val="false"/>
          <w:i w:val="false"/>
          <w:color w:val="000000"/>
          <w:sz w:val="28"/>
        </w:rPr>
        <w:t>
      В срок не позднее десяти рабочих дней комиссия рассматривает заявление, заключения соответствующих государственных органов, расчеты рентабельности соответствующего месторождения (группы  месторождений, части месторождения) и предложения по конкретным размерам индивидуальной ставки налога на добычу полезных ископаемых и  вырабатывает рекомендации об отнесении или отказе в отнесении месторождения (группы месторождений, части месторождения) к категории  низкорентабельных, о размере ставки налога на добычу полезных ископаемых по низкорентабельному месторождению (группы месторождений, части месторождения) (в случае выработки предложения об отнесении  месторождения (группы месторождений, части месторождения) к категории низкорентабельных).</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Правительства РК от 08.09.2017 </w:t>
      </w:r>
      <w:r>
        <w:rPr>
          <w:rFonts w:ascii="Times New Roman"/>
          <w:b w:val="false"/>
          <w:i w:val="false"/>
          <w:color w:val="000000"/>
          <w:sz w:val="28"/>
        </w:rPr>
        <w:t>№ 553</w:t>
      </w:r>
      <w:r>
        <w:rPr>
          <w:rFonts w:ascii="Times New Roman"/>
          <w:b w:val="false"/>
          <w:i w:val="false"/>
          <w:color w:val="ff0000"/>
          <w:sz w:val="28"/>
        </w:rPr>
        <w:t>.</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xml:space="preserve">
      10. В случае выработки комиссией рекомендаций об отнесении месторождения (группы месторождений, части месторождения) к категории  низкорентабельных, уполномоченный орган в соответствии с рекомендацией комиссии в течение двадцати рабочих дней разрабатывает 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вносит в Правительство Республики Казахстан проект постановления Правительства Республики Казахстан о включении месторождения (группы месторождений, части  месторождения) в перечень месторождений, отнесенных к категории низкорентабельных с приложением ставок налога на добычу полезных ископаемых.</w:t>
      </w:r>
    </w:p>
    <w:bookmarkEnd w:id="34"/>
    <w:bookmarkStart w:name="z38" w:id="35"/>
    <w:p>
      <w:pPr>
        <w:spacing w:after="0"/>
        <w:ind w:left="0"/>
        <w:jc w:val="both"/>
      </w:pPr>
      <w:r>
        <w:rPr>
          <w:rFonts w:ascii="Times New Roman"/>
          <w:b w:val="false"/>
          <w:i w:val="false"/>
          <w:color w:val="000000"/>
          <w:sz w:val="28"/>
        </w:rPr>
        <w:t>
      11. Ставка налога на добычу полезных ископаемых устанавливается  на календарный год. В случае, если ставка налога на добычу полезных ископаемых устанавливается в течение указанного года, то налог на добычу полезных ископаемых (далее – НДПИ), начисленный и уплаченный с  начала календарного года по обязательствам этого года, пересчитывается по ставке, установленной в соответствии с настоящими Правилами.</w:t>
      </w:r>
    </w:p>
    <w:bookmarkEnd w:id="35"/>
    <w:bookmarkStart w:name="z39" w:id="36"/>
    <w:p>
      <w:pPr>
        <w:spacing w:after="0"/>
        <w:ind w:left="0"/>
        <w:jc w:val="both"/>
      </w:pPr>
      <w:r>
        <w:rPr>
          <w:rFonts w:ascii="Times New Roman"/>
          <w:b w:val="false"/>
          <w:i w:val="false"/>
          <w:color w:val="000000"/>
          <w:sz w:val="28"/>
        </w:rPr>
        <w:t>
      12. О результатах рассмотрения комиссией соответствующих заявлений об отнесении месторождения (группы месторождений, части месторождения) к категории низкорентабельных уполномоченным органом доводится до сведения недропользователя в течение десяти рабочих дней  после вынесения комиссией соответствующего решения.</w:t>
      </w:r>
    </w:p>
    <w:bookmarkEnd w:id="36"/>
    <w:bookmarkStart w:name="z40" w:id="37"/>
    <w:p>
      <w:pPr>
        <w:spacing w:after="0"/>
        <w:ind w:left="0"/>
        <w:jc w:val="both"/>
      </w:pPr>
      <w:r>
        <w:rPr>
          <w:rFonts w:ascii="Times New Roman"/>
          <w:b w:val="false"/>
          <w:i w:val="false"/>
          <w:color w:val="000000"/>
          <w:sz w:val="28"/>
        </w:rPr>
        <w:t>
      13. Основанием для отказа в отнесении месторождения (группы месторождений, части месторождения) к категории низкорентабельных являются:</w:t>
      </w:r>
    </w:p>
    <w:bookmarkEnd w:id="37"/>
    <w:bookmarkStart w:name="z41" w:id="38"/>
    <w:p>
      <w:pPr>
        <w:spacing w:after="0"/>
        <w:ind w:left="0"/>
        <w:jc w:val="both"/>
      </w:pPr>
      <w:r>
        <w:rPr>
          <w:rFonts w:ascii="Times New Roman"/>
          <w:b w:val="false"/>
          <w:i w:val="false"/>
          <w:color w:val="000000"/>
          <w:sz w:val="28"/>
        </w:rPr>
        <w:t xml:space="preserve">
      1) несоответствие представленного расчета налоговых обязательств по КПН, а также расчета чистого дохода, рентабельности продаж по месторождению (группе месторождений, части месторождения) на соответствующий календарный год налоговому законодательству  Республики Казахстан, в том числе </w:t>
      </w:r>
      <w:r>
        <w:rPr>
          <w:rFonts w:ascii="Times New Roman"/>
          <w:b w:val="false"/>
          <w:i w:val="false"/>
          <w:color w:val="000000"/>
          <w:sz w:val="28"/>
        </w:rPr>
        <w:t>главы 3</w:t>
      </w:r>
      <w:r>
        <w:rPr>
          <w:rFonts w:ascii="Times New Roman"/>
          <w:b w:val="false"/>
          <w:i w:val="false"/>
          <w:color w:val="000000"/>
          <w:sz w:val="28"/>
        </w:rPr>
        <w:t xml:space="preserve"> настоящих Правил;</w:t>
      </w:r>
    </w:p>
    <w:bookmarkEnd w:id="38"/>
    <w:bookmarkStart w:name="z42" w:id="39"/>
    <w:p>
      <w:pPr>
        <w:spacing w:after="0"/>
        <w:ind w:left="0"/>
        <w:jc w:val="both"/>
      </w:pPr>
      <w:r>
        <w:rPr>
          <w:rFonts w:ascii="Times New Roman"/>
          <w:b w:val="false"/>
          <w:i w:val="false"/>
          <w:color w:val="000000"/>
          <w:sz w:val="28"/>
        </w:rPr>
        <w:t>
      2) применение недропользователем необоснованной прогнозной цены  на минеральное сырье, полезное ископаемое, металл, за соответствующий  календарный год, используемой заявителем для расчета уровня рентабельности;</w:t>
      </w:r>
    </w:p>
    <w:bookmarkEnd w:id="39"/>
    <w:bookmarkStart w:name="z43"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постановлением Правительства РК от 05.08.2014 </w:t>
      </w:r>
      <w:r>
        <w:rPr>
          <w:rFonts w:ascii="Times New Roman"/>
          <w:b w:val="false"/>
          <w:i w:val="false"/>
          <w:color w:val="000000"/>
          <w:sz w:val="28"/>
        </w:rPr>
        <w:t>№ 892</w:t>
      </w:r>
      <w:r>
        <w:rPr>
          <w:rFonts w:ascii="Times New Roman"/>
          <w:b w:val="false"/>
          <w:i w:val="false"/>
          <w:color w:val="000000"/>
          <w:sz w:val="28"/>
        </w:rPr>
        <w:t xml:space="preserve"> (вводится в действие со дня его первого официального опубликования).</w:t>
      </w:r>
    </w:p>
    <w:bookmarkEnd w:id="40"/>
    <w:bookmarkStart w:name="z44" w:id="41"/>
    <w:p>
      <w:pPr>
        <w:spacing w:after="0"/>
        <w:ind w:left="0"/>
        <w:jc w:val="both"/>
      </w:pPr>
      <w:r>
        <w:rPr>
          <w:rFonts w:ascii="Times New Roman"/>
          <w:b w:val="false"/>
          <w:i w:val="false"/>
          <w:color w:val="000000"/>
          <w:sz w:val="28"/>
        </w:rPr>
        <w:t>
      4) необоснованное увеличение, в случае увеличения более чем на 10 %, производственных затрат, затрат на реализацию и общеадминистративных затрат, за исключением затрат на приобретение импортируемых товаров, связанных с ростом обменного курса национальной валюты по отношению к иностранным валютам, и затрат на приобретение товаров, произведенных в Республике Казахстан, связанных с увеличением уровня годовой инфляции, в расчете на тонну минерального сырья, полезного ископаемого, металла в сравнении с данными за предыдущий календарный год, если заявление подается на текущий календарный год, либо с данными по текущему календарному году, исходя из прогнозных данных по году, рассчитанных на основе бюджета за указанный период с учетом вносимых корректировок, если заявление подается на предстоящий календарный год;</w:t>
      </w:r>
    </w:p>
    <w:bookmarkEnd w:id="41"/>
    <w:bookmarkStart w:name="z45" w:id="42"/>
    <w:p>
      <w:pPr>
        <w:spacing w:after="0"/>
        <w:ind w:left="0"/>
        <w:jc w:val="both"/>
      </w:pPr>
      <w:r>
        <w:rPr>
          <w:rFonts w:ascii="Times New Roman"/>
          <w:b w:val="false"/>
          <w:i w:val="false"/>
          <w:color w:val="000000"/>
          <w:sz w:val="28"/>
        </w:rPr>
        <w:t>
      5) фактический или планируемый уровень рентабельности по месторождению (группе месторождений, части месторождения) по итогам прошедшего календарного года или текущего незавершенного календарного  года превышает 0 %.</w:t>
      </w:r>
    </w:p>
    <w:bookmarkEnd w:id="42"/>
    <w:bookmarkStart w:name="z46" w:id="43"/>
    <w:p>
      <w:pPr>
        <w:spacing w:after="0"/>
        <w:ind w:left="0"/>
        <w:jc w:val="both"/>
      </w:pPr>
      <w:r>
        <w:rPr>
          <w:rFonts w:ascii="Times New Roman"/>
          <w:b w:val="false"/>
          <w:i w:val="false"/>
          <w:color w:val="000000"/>
          <w:sz w:val="28"/>
        </w:rPr>
        <w:t>
      В случае устранения причин, по которым недропользователю было отказано в отнесении месторождения (группы месторождений, части месторождения) к категории низкорентабельных, он вправе направить повторно заявление в уполномоченный орган в порядке, установленном настоящей главой.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Правительства РК от 27.07.2016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14. Сроки рассмотрения заявления об отнесении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могут быть продлены и поставлены на дополнительный  контроль до принятия окончательного решения по заявлению в соответствии с законодательством Республики Казахстан, но не более сроков, установленных настоящими Правилами.</w:t>
      </w:r>
    </w:p>
    <w:bookmarkEnd w:id="44"/>
    <w:bookmarkStart w:name="z48" w:id="45"/>
    <w:p>
      <w:pPr>
        <w:spacing w:after="0"/>
        <w:ind w:left="0"/>
        <w:jc w:val="both"/>
      </w:pPr>
      <w:r>
        <w:rPr>
          <w:rFonts w:ascii="Times New Roman"/>
          <w:b w:val="false"/>
          <w:i w:val="false"/>
          <w:color w:val="000000"/>
          <w:sz w:val="28"/>
        </w:rPr>
        <w:t>
      В случае продления сроков рассмотрения заявления, уполномоченный орган сообщает заявителю о продлении сроков в течение трех календарных дней с момента продления сроков рассмотрения.</w:t>
      </w:r>
    </w:p>
    <w:bookmarkEnd w:id="45"/>
    <w:bookmarkStart w:name="z49" w:id="46"/>
    <w:p>
      <w:pPr>
        <w:spacing w:after="0"/>
        <w:ind w:left="0"/>
        <w:jc w:val="left"/>
      </w:pPr>
      <w:r>
        <w:rPr>
          <w:rFonts w:ascii="Times New Roman"/>
          <w:b/>
          <w:i w:val="false"/>
          <w:color w:val="000000"/>
        </w:rPr>
        <w:t xml:space="preserve"> 3. Критерии отнесения месторождения (группы месторождений,</w:t>
      </w:r>
      <w:r>
        <w:br/>
      </w:r>
      <w:r>
        <w:rPr>
          <w:rFonts w:ascii="Times New Roman"/>
          <w:b/>
          <w:i w:val="false"/>
          <w:color w:val="000000"/>
        </w:rPr>
        <w:t>части месторождения) твердых видов полезных ископаемых, за</w:t>
      </w:r>
      <w:r>
        <w:br/>
      </w:r>
      <w:r>
        <w:rPr>
          <w:rFonts w:ascii="Times New Roman"/>
          <w:b/>
          <w:i w:val="false"/>
          <w:color w:val="000000"/>
        </w:rPr>
        <w:t>исключением общераспространенных, к категории низкорентабельных</w:t>
      </w:r>
    </w:p>
    <w:bookmarkEnd w:id="46"/>
    <w:bookmarkStart w:name="z50" w:id="47"/>
    <w:p>
      <w:pPr>
        <w:spacing w:after="0"/>
        <w:ind w:left="0"/>
        <w:jc w:val="both"/>
      </w:pPr>
      <w:r>
        <w:rPr>
          <w:rFonts w:ascii="Times New Roman"/>
          <w:b w:val="false"/>
          <w:i w:val="false"/>
          <w:color w:val="000000"/>
          <w:sz w:val="28"/>
        </w:rPr>
        <w:t>
      15. Месторождение (группа месторождений, часть месторождения) относится к категории низкорентабельных в случае, если планируемый уровень рентабельности по месторождению (группе месторождений, части месторождения) по итогам предстоящего календарного года или текущего незавершенного календарного года по расчетам, производимым недропользователем самостоятельно в порядке, установленном настоящими Правилами, равен или менее 0 %.</w:t>
      </w:r>
    </w:p>
    <w:bookmarkEnd w:id="47"/>
    <w:bookmarkStart w:name="z51" w:id="48"/>
    <w:p>
      <w:pPr>
        <w:spacing w:after="0"/>
        <w:ind w:left="0"/>
        <w:jc w:val="both"/>
      </w:pPr>
      <w:r>
        <w:rPr>
          <w:rFonts w:ascii="Times New Roman"/>
          <w:b w:val="false"/>
          <w:i w:val="false"/>
          <w:color w:val="000000"/>
          <w:sz w:val="28"/>
        </w:rPr>
        <w:t>
      16. Для недропользователей, передающих минеральное сырье для  последующей переработки структурному или иному технологическому подразделению в рамках одного юридического лица, в целях определения  уровня рентабельности месторождения (группы месторождений, части месторождения) делятся месторождения (группы месторождений, части месторождения) на однокомпонентные и многокомпонентные.</w:t>
      </w:r>
    </w:p>
    <w:bookmarkEnd w:id="48"/>
    <w:bookmarkStart w:name="z52" w:id="49"/>
    <w:p>
      <w:pPr>
        <w:spacing w:after="0"/>
        <w:ind w:left="0"/>
        <w:jc w:val="both"/>
      </w:pPr>
      <w:r>
        <w:rPr>
          <w:rFonts w:ascii="Times New Roman"/>
          <w:b w:val="false"/>
          <w:i w:val="false"/>
          <w:color w:val="000000"/>
          <w:sz w:val="28"/>
        </w:rPr>
        <w:t>
      Если добытое недропользователем минеральное сырье в рамках месторождения (группы месторождений, части месторождения) используется для получения только одного вида готовой продукции, то такое месторождение (группа месторождений, часть месторождения) рассматривается как однокомпонентное месторождение (группа  месторождений, часть месторождения) твердых видов полезных ископаемых.</w:t>
      </w:r>
    </w:p>
    <w:bookmarkEnd w:id="49"/>
    <w:bookmarkStart w:name="z53" w:id="50"/>
    <w:p>
      <w:pPr>
        <w:spacing w:after="0"/>
        <w:ind w:left="0"/>
        <w:jc w:val="both"/>
      </w:pPr>
      <w:r>
        <w:rPr>
          <w:rFonts w:ascii="Times New Roman"/>
          <w:b w:val="false"/>
          <w:i w:val="false"/>
          <w:color w:val="000000"/>
          <w:sz w:val="28"/>
        </w:rPr>
        <w:t>
      Если добытое недропользователем минеральное сырье в рамках месторождения (группы месторождений, части месторождения) используется для получения более одного вида готовой продукции, то месторождение (группы месторождений, части месторождения) рассматривается как многокомпонентное месторождение (группы месторождений, части месторождения) твердых видов полезных ископаемых.</w:t>
      </w:r>
    </w:p>
    <w:bookmarkEnd w:id="50"/>
    <w:bookmarkStart w:name="z54" w:id="51"/>
    <w:p>
      <w:pPr>
        <w:spacing w:after="0"/>
        <w:ind w:left="0"/>
        <w:jc w:val="both"/>
      </w:pPr>
      <w:r>
        <w:rPr>
          <w:rFonts w:ascii="Times New Roman"/>
          <w:b w:val="false"/>
          <w:i w:val="false"/>
          <w:color w:val="000000"/>
          <w:sz w:val="28"/>
        </w:rPr>
        <w:t>
      17. Расчет планируемого уровня рентабельности по месторождению  (группе месторождений, части месторождения) за календарный год производится на основании прогнозных данных недропользователя, включая цены на минеральное сырье, полезные ископаемые, металл за  соответствующий период, и на основании объемов добычи, подтвержденных компетентным органом:</w:t>
      </w:r>
    </w:p>
    <w:bookmarkEnd w:id="51"/>
    <w:bookmarkStart w:name="z55" w:id="52"/>
    <w:p>
      <w:pPr>
        <w:spacing w:after="0"/>
        <w:ind w:left="0"/>
        <w:jc w:val="both"/>
      </w:pPr>
      <w:r>
        <w:rPr>
          <w:rFonts w:ascii="Times New Roman"/>
          <w:b w:val="false"/>
          <w:i w:val="false"/>
          <w:color w:val="000000"/>
          <w:sz w:val="28"/>
        </w:rPr>
        <w:t xml:space="preserve">
      1) планируемый уровень рентабельности по месторождению (группе месторождений, части месторождения), за исключением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определяется по следующей формуле:</w:t>
      </w:r>
    </w:p>
    <w:bookmarkEnd w:id="52"/>
    <w:bookmarkStart w:name="z56" w:id="5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w:t>
      </w:r>
      <w:r>
        <w:rPr>
          <w:rFonts w:ascii="Times New Roman"/>
          <w:b w:val="false"/>
          <w:i w:val="false"/>
          <w:color w:val="000000"/>
          <w:sz w:val="28"/>
        </w:rPr>
        <w:t xml:space="preserve"> = ЧД</w:t>
      </w:r>
      <w:r>
        <w:rPr>
          <w:rFonts w:ascii="Times New Roman"/>
          <w:b w:val="false"/>
          <w:i w:val="false"/>
          <w:color w:val="000000"/>
          <w:vertAlign w:val="subscript"/>
        </w:rPr>
        <w:t>м</w:t>
      </w:r>
      <w:r>
        <w:rPr>
          <w:rFonts w:ascii="Times New Roman"/>
          <w:b w:val="false"/>
          <w:i w:val="false"/>
          <w:color w:val="000000"/>
          <w:sz w:val="28"/>
        </w:rPr>
        <w:t xml:space="preserve"> / СГД</w:t>
      </w:r>
      <w:r>
        <w:rPr>
          <w:rFonts w:ascii="Times New Roman"/>
          <w:b w:val="false"/>
          <w:i w:val="false"/>
          <w:color w:val="000000"/>
          <w:vertAlign w:val="subscript"/>
        </w:rPr>
        <w:t>м</w:t>
      </w:r>
      <w:r>
        <w:rPr>
          <w:rFonts w:ascii="Times New Roman"/>
          <w:b w:val="false"/>
          <w:i w:val="false"/>
          <w:color w:val="000000"/>
          <w:sz w:val="28"/>
        </w:rPr>
        <w:t xml:space="preserve"> * 100 %,</w:t>
      </w:r>
    </w:p>
    <w:bookmarkEnd w:id="53"/>
    <w:bookmarkStart w:name="z57" w:id="54"/>
    <w:p>
      <w:pPr>
        <w:spacing w:after="0"/>
        <w:ind w:left="0"/>
        <w:jc w:val="both"/>
      </w:pPr>
      <w:r>
        <w:rPr>
          <w:rFonts w:ascii="Times New Roman"/>
          <w:b w:val="false"/>
          <w:i w:val="false"/>
          <w:color w:val="000000"/>
          <w:sz w:val="28"/>
        </w:rPr>
        <w:t>
      где:</w:t>
      </w:r>
    </w:p>
    <w:bookmarkEnd w:id="54"/>
    <w:bookmarkStart w:name="z58" w:id="5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рентабельность по месторождению (группе месторождений,  части месторождения);</w:t>
      </w:r>
    </w:p>
    <w:bookmarkEnd w:id="55"/>
    <w:bookmarkStart w:name="z59" w:id="56"/>
    <w:p>
      <w:pPr>
        <w:spacing w:after="0"/>
        <w:ind w:left="0"/>
        <w:jc w:val="both"/>
      </w:pPr>
      <w:r>
        <w:rPr>
          <w:rFonts w:ascii="Times New Roman"/>
          <w:b w:val="false"/>
          <w:i w:val="false"/>
          <w:color w:val="000000"/>
          <w:sz w:val="28"/>
        </w:rPr>
        <w:t>
      ЧД</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xml:space="preserve">– чистый доход по месторождению (группе месторождений,  части месторождения), исчисленный в соответствии с настоящим  подпунктом Правил и условиями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w:t>
      </w:r>
    </w:p>
    <w:bookmarkEnd w:id="56"/>
    <w:bookmarkStart w:name="z60" w:id="57"/>
    <w:p>
      <w:pPr>
        <w:spacing w:after="0"/>
        <w:ind w:left="0"/>
        <w:jc w:val="both"/>
      </w:pPr>
      <w:r>
        <w:rPr>
          <w:rFonts w:ascii="Times New Roman"/>
          <w:b w:val="false"/>
          <w:i w:val="false"/>
          <w:color w:val="000000"/>
          <w:sz w:val="28"/>
        </w:rPr>
        <w:t>
      СГД</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xml:space="preserve">– совокупный годовой доход по месторождению (группе  месторождений, части месторождения), исчисленный в соответствии с настоящим подпунктом Правил и условиями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w:t>
      </w:r>
    </w:p>
    <w:bookmarkEnd w:id="57"/>
    <w:bookmarkStart w:name="z61" w:id="58"/>
    <w:p>
      <w:pPr>
        <w:spacing w:after="0"/>
        <w:ind w:left="0"/>
        <w:jc w:val="both"/>
      </w:pPr>
      <w:r>
        <w:rPr>
          <w:rFonts w:ascii="Times New Roman"/>
          <w:b w:val="false"/>
          <w:i w:val="false"/>
          <w:color w:val="000000"/>
          <w:sz w:val="28"/>
        </w:rPr>
        <w:t>
      Размер чистого дохода по месторождению (группе месторождений, части месторождения) за налоговый период определяется по следующей формуле:</w:t>
      </w:r>
    </w:p>
    <w:bookmarkEnd w:id="58"/>
    <w:bookmarkStart w:name="z62" w:id="59"/>
    <w:p>
      <w:pPr>
        <w:spacing w:after="0"/>
        <w:ind w:left="0"/>
        <w:jc w:val="both"/>
      </w:pPr>
      <w:r>
        <w:rPr>
          <w:rFonts w:ascii="Times New Roman"/>
          <w:b w:val="false"/>
          <w:i w:val="false"/>
          <w:color w:val="000000"/>
          <w:sz w:val="28"/>
        </w:rPr>
        <w:t>
      ЧД</w:t>
      </w:r>
      <w:r>
        <w:rPr>
          <w:rFonts w:ascii="Times New Roman"/>
          <w:b w:val="false"/>
          <w:i w:val="false"/>
          <w:color w:val="000000"/>
          <w:vertAlign w:val="subscript"/>
        </w:rPr>
        <w:t>м</w:t>
      </w:r>
      <w:r>
        <w:rPr>
          <w:rFonts w:ascii="Times New Roman"/>
          <w:b w:val="false"/>
          <w:i w:val="false"/>
          <w:color w:val="000000"/>
          <w:sz w:val="28"/>
        </w:rPr>
        <w:t xml:space="preserve"> = НД</w:t>
      </w:r>
      <w:r>
        <w:rPr>
          <w:rFonts w:ascii="Times New Roman"/>
          <w:b w:val="false"/>
          <w:i w:val="false"/>
          <w:color w:val="000000"/>
          <w:vertAlign w:val="subscript"/>
        </w:rPr>
        <w:t>м</w:t>
      </w:r>
      <w:r>
        <w:rPr>
          <w:rFonts w:ascii="Times New Roman"/>
          <w:b w:val="false"/>
          <w:i w:val="false"/>
          <w:color w:val="000000"/>
          <w:sz w:val="28"/>
        </w:rPr>
        <w:t xml:space="preserve"> – КПН</w:t>
      </w:r>
      <w:r>
        <w:rPr>
          <w:rFonts w:ascii="Times New Roman"/>
          <w:b w:val="false"/>
          <w:i w:val="false"/>
          <w:color w:val="000000"/>
          <w:vertAlign w:val="subscript"/>
        </w:rPr>
        <w:t>м</w:t>
      </w:r>
      <w:r>
        <w:rPr>
          <w:rFonts w:ascii="Times New Roman"/>
          <w:b w:val="false"/>
          <w:i w:val="false"/>
          <w:color w:val="000000"/>
          <w:sz w:val="28"/>
        </w:rPr>
        <w:t>,</w:t>
      </w:r>
    </w:p>
    <w:bookmarkEnd w:id="59"/>
    <w:bookmarkStart w:name="z63" w:id="60"/>
    <w:p>
      <w:pPr>
        <w:spacing w:after="0"/>
        <w:ind w:left="0"/>
        <w:jc w:val="both"/>
      </w:pPr>
      <w:r>
        <w:rPr>
          <w:rFonts w:ascii="Times New Roman"/>
          <w:b w:val="false"/>
          <w:i w:val="false"/>
          <w:color w:val="000000"/>
          <w:sz w:val="28"/>
        </w:rPr>
        <w:t>
      где:</w:t>
      </w:r>
    </w:p>
    <w:bookmarkEnd w:id="60"/>
    <w:bookmarkStart w:name="z64" w:id="61"/>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xml:space="preserve">– налогооблагаемый доход по месторождению (группе  месторождений, части месторождения), уменьшенный на сумму доходов и расходов, предусмотренных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по следующей формуле:</w:t>
      </w:r>
    </w:p>
    <w:bookmarkEnd w:id="61"/>
    <w:bookmarkStart w:name="z65" w:id="62"/>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м</w:t>
      </w:r>
      <w:r>
        <w:rPr>
          <w:rFonts w:ascii="Times New Roman"/>
          <w:b w:val="false"/>
          <w:i w:val="false"/>
          <w:color w:val="000000"/>
          <w:sz w:val="28"/>
        </w:rPr>
        <w:t xml:space="preserve"> = СГД</w:t>
      </w:r>
      <w:r>
        <w:rPr>
          <w:rFonts w:ascii="Times New Roman"/>
          <w:b w:val="false"/>
          <w:i w:val="false"/>
          <w:color w:val="000000"/>
          <w:vertAlign w:val="subscript"/>
        </w:rPr>
        <w:t>м</w:t>
      </w:r>
      <w:r>
        <w:rPr>
          <w:rFonts w:ascii="Times New Roman"/>
          <w:b w:val="false"/>
          <w:i w:val="false"/>
          <w:color w:val="000000"/>
          <w:sz w:val="28"/>
        </w:rPr>
        <w:t xml:space="preserve"> – В</w:t>
      </w:r>
      <w:r>
        <w:rPr>
          <w:rFonts w:ascii="Times New Roman"/>
          <w:b w:val="false"/>
          <w:i w:val="false"/>
          <w:color w:val="000000"/>
          <w:vertAlign w:val="subscript"/>
        </w:rPr>
        <w:t>м</w:t>
      </w:r>
      <w:r>
        <w:rPr>
          <w:rFonts w:ascii="Times New Roman"/>
          <w:b w:val="false"/>
          <w:i w:val="false"/>
          <w:color w:val="000000"/>
          <w:sz w:val="28"/>
        </w:rPr>
        <w:t>,</w:t>
      </w:r>
    </w:p>
    <w:bookmarkEnd w:id="62"/>
    <w:bookmarkStart w:name="z66" w:id="63"/>
    <w:p>
      <w:pPr>
        <w:spacing w:after="0"/>
        <w:ind w:left="0"/>
        <w:jc w:val="both"/>
      </w:pPr>
      <w:r>
        <w:rPr>
          <w:rFonts w:ascii="Times New Roman"/>
          <w:b w:val="false"/>
          <w:i w:val="false"/>
          <w:color w:val="000000"/>
          <w:sz w:val="28"/>
        </w:rPr>
        <w:t>
      где:</w:t>
      </w:r>
    </w:p>
    <w:bookmarkEnd w:id="63"/>
    <w:bookmarkStart w:name="z67" w:id="64"/>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xml:space="preserve">– вычеты по месторождению (группе месторождений, части  месторождения), исчисленные в соответствии с настоящим подпунктом Правил и условиями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w:t>
      </w:r>
    </w:p>
    <w:bookmarkEnd w:id="64"/>
    <w:bookmarkStart w:name="z68" w:id="65"/>
    <w:p>
      <w:pPr>
        <w:spacing w:after="0"/>
        <w:ind w:left="0"/>
        <w:jc w:val="both"/>
      </w:pPr>
      <w:r>
        <w:rPr>
          <w:rFonts w:ascii="Times New Roman"/>
          <w:b w:val="false"/>
          <w:i w:val="false"/>
          <w:color w:val="000000"/>
          <w:sz w:val="28"/>
        </w:rPr>
        <w:t>
      При определении налогооблагаемого дохода сумма вычетов за налоговый период не должна превышать сумму вычетов за предыдущий налоговый период, за исключением сумм вычетов за счет дополнительных налоговых обязательств, увеличения сумм вычетов за счет расходов, увеличение которых связано с повышением тарифов на регулируемые услуги (товары, работы) субъекта естественной монополии, а также увеличения вычетов по приобретению импортируемых товаров, связанных с ростом обменного курса национальной валюты по отношению к иностранным валютам и приобретению товаров, произведенных в Республике Казахстан, связанных с увеличением уровня годовой инфляции.</w:t>
      </w:r>
    </w:p>
    <w:bookmarkEnd w:id="65"/>
    <w:bookmarkStart w:name="z69" w:id="66"/>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корпоративный подоходный налог  по месторождению (группе месторождений, части месторождения) определяется по следующей формуле:</w:t>
      </w:r>
    </w:p>
    <w:bookmarkEnd w:id="66"/>
    <w:bookmarkStart w:name="z70" w:id="67"/>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м</w:t>
      </w:r>
      <w:r>
        <w:rPr>
          <w:rFonts w:ascii="Times New Roman"/>
          <w:b w:val="false"/>
          <w:i w:val="false"/>
          <w:color w:val="000000"/>
          <w:sz w:val="28"/>
        </w:rPr>
        <w:t xml:space="preserve"> = НД</w:t>
      </w:r>
      <w:r>
        <w:rPr>
          <w:rFonts w:ascii="Times New Roman"/>
          <w:b w:val="false"/>
          <w:i w:val="false"/>
          <w:color w:val="000000"/>
          <w:vertAlign w:val="subscript"/>
        </w:rPr>
        <w:t>м</w:t>
      </w:r>
      <w:r>
        <w:rPr>
          <w:rFonts w:ascii="Times New Roman"/>
          <w:b w:val="false"/>
          <w:i w:val="false"/>
          <w:color w:val="000000"/>
          <w:sz w:val="28"/>
        </w:rPr>
        <w:t xml:space="preserve"> * Ст,</w:t>
      </w:r>
    </w:p>
    <w:bookmarkEnd w:id="67"/>
    <w:bookmarkStart w:name="z71" w:id="68"/>
    <w:p>
      <w:pPr>
        <w:spacing w:after="0"/>
        <w:ind w:left="0"/>
        <w:jc w:val="both"/>
      </w:pPr>
      <w:r>
        <w:rPr>
          <w:rFonts w:ascii="Times New Roman"/>
          <w:b w:val="false"/>
          <w:i w:val="false"/>
          <w:color w:val="000000"/>
          <w:sz w:val="28"/>
        </w:rPr>
        <w:t>
      где:</w:t>
      </w:r>
    </w:p>
    <w:bookmarkEnd w:id="68"/>
    <w:bookmarkStart w:name="z72" w:id="69"/>
    <w:p>
      <w:pPr>
        <w:spacing w:after="0"/>
        <w:ind w:left="0"/>
        <w:jc w:val="both"/>
      </w:pPr>
      <w:r>
        <w:rPr>
          <w:rFonts w:ascii="Times New Roman"/>
          <w:b w:val="false"/>
          <w:i w:val="false"/>
          <w:color w:val="000000"/>
          <w:sz w:val="28"/>
        </w:rPr>
        <w:t xml:space="preserve">
      Ст – ставка корпоративного подоходного налога в процентах, установленная </w:t>
      </w:r>
      <w:r>
        <w:rPr>
          <w:rFonts w:ascii="Times New Roman"/>
          <w:b w:val="false"/>
          <w:i w:val="false"/>
          <w:color w:val="000000"/>
          <w:sz w:val="28"/>
        </w:rPr>
        <w:t>статьей 147</w:t>
      </w:r>
      <w:r>
        <w:rPr>
          <w:rFonts w:ascii="Times New Roman"/>
          <w:b w:val="false"/>
          <w:i w:val="false"/>
          <w:color w:val="000000"/>
          <w:sz w:val="28"/>
        </w:rPr>
        <w:t xml:space="preserve"> Налогового кодекса;</w:t>
      </w:r>
    </w:p>
    <w:bookmarkEnd w:id="69"/>
    <w:bookmarkStart w:name="z73" w:id="70"/>
    <w:p>
      <w:pPr>
        <w:spacing w:after="0"/>
        <w:ind w:left="0"/>
        <w:jc w:val="both"/>
      </w:pPr>
      <w:r>
        <w:rPr>
          <w:rFonts w:ascii="Times New Roman"/>
          <w:b w:val="false"/>
          <w:i w:val="false"/>
          <w:color w:val="000000"/>
          <w:sz w:val="28"/>
        </w:rPr>
        <w:t>
      2) планируемый уровень рентабельности по однокомпонентному месторождению (группе месторождений, части месторождения)  определяется по следующей формуле:</w:t>
      </w:r>
    </w:p>
    <w:bookmarkEnd w:id="70"/>
    <w:bookmarkStart w:name="z74" w:id="7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w:t>
      </w:r>
      <w:r>
        <w:rPr>
          <w:rFonts w:ascii="Times New Roman"/>
          <w:b w:val="false"/>
          <w:i w:val="false"/>
          <w:color w:val="000000"/>
          <w:sz w:val="28"/>
        </w:rPr>
        <w:t xml:space="preserve"> = ЧД</w:t>
      </w:r>
      <w:r>
        <w:rPr>
          <w:rFonts w:ascii="Times New Roman"/>
          <w:b w:val="false"/>
          <w:i w:val="false"/>
          <w:color w:val="000000"/>
          <w:vertAlign w:val="subscript"/>
        </w:rPr>
        <w:t>м</w:t>
      </w:r>
      <w:r>
        <w:rPr>
          <w:rFonts w:ascii="Times New Roman"/>
          <w:b w:val="false"/>
          <w:i w:val="false"/>
          <w:color w:val="000000"/>
          <w:sz w:val="28"/>
        </w:rPr>
        <w:t xml:space="preserve"> / СГД</w:t>
      </w:r>
      <w:r>
        <w:rPr>
          <w:rFonts w:ascii="Times New Roman"/>
          <w:b w:val="false"/>
          <w:i w:val="false"/>
          <w:color w:val="000000"/>
          <w:vertAlign w:val="subscript"/>
        </w:rPr>
        <w:t>м</w:t>
      </w:r>
      <w:r>
        <w:rPr>
          <w:rFonts w:ascii="Times New Roman"/>
          <w:b w:val="false"/>
          <w:i w:val="false"/>
          <w:color w:val="000000"/>
          <w:sz w:val="28"/>
        </w:rPr>
        <w:t xml:space="preserve"> * 100 %,</w:t>
      </w:r>
    </w:p>
    <w:bookmarkEnd w:id="71"/>
    <w:bookmarkStart w:name="z75" w:id="72"/>
    <w:p>
      <w:pPr>
        <w:spacing w:after="0"/>
        <w:ind w:left="0"/>
        <w:jc w:val="both"/>
      </w:pPr>
      <w:r>
        <w:rPr>
          <w:rFonts w:ascii="Times New Roman"/>
          <w:b w:val="false"/>
          <w:i w:val="false"/>
          <w:color w:val="000000"/>
          <w:sz w:val="28"/>
        </w:rPr>
        <w:t>
      где:</w:t>
      </w:r>
    </w:p>
    <w:bookmarkEnd w:id="72"/>
    <w:bookmarkStart w:name="z76" w:id="7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рентабельность по месторождению (группе месторождений,  части месторождения).</w:t>
      </w:r>
    </w:p>
    <w:bookmarkEnd w:id="73"/>
    <w:bookmarkStart w:name="z77" w:id="74"/>
    <w:p>
      <w:pPr>
        <w:spacing w:after="0"/>
        <w:ind w:left="0"/>
        <w:jc w:val="both"/>
      </w:pPr>
      <w:r>
        <w:rPr>
          <w:rFonts w:ascii="Times New Roman"/>
          <w:b w:val="false"/>
          <w:i w:val="false"/>
          <w:color w:val="000000"/>
          <w:sz w:val="28"/>
        </w:rPr>
        <w:t>
      ЧД</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чистый доход по месторождению (группе  месторождений, части месторождения), исчисленный в соответствии с настоящим пунктом Правил.</w:t>
      </w:r>
    </w:p>
    <w:bookmarkEnd w:id="74"/>
    <w:bookmarkStart w:name="z78" w:id="75"/>
    <w:p>
      <w:pPr>
        <w:spacing w:after="0"/>
        <w:ind w:left="0"/>
        <w:jc w:val="both"/>
      </w:pPr>
      <w:r>
        <w:rPr>
          <w:rFonts w:ascii="Times New Roman"/>
          <w:b w:val="false"/>
          <w:i w:val="false"/>
          <w:color w:val="000000"/>
          <w:sz w:val="28"/>
        </w:rPr>
        <w:t>
      Размер чистого дохода по месторождению (группе месторождений, части месторождения) за налоговый период определяется по следующей  формуле:</w:t>
      </w:r>
    </w:p>
    <w:bookmarkEnd w:id="75"/>
    <w:bookmarkStart w:name="z79" w:id="76"/>
    <w:p>
      <w:pPr>
        <w:spacing w:after="0"/>
        <w:ind w:left="0"/>
        <w:jc w:val="both"/>
      </w:pPr>
      <w:r>
        <w:rPr>
          <w:rFonts w:ascii="Times New Roman"/>
          <w:b w:val="false"/>
          <w:i w:val="false"/>
          <w:color w:val="000000"/>
          <w:sz w:val="28"/>
        </w:rPr>
        <w:t>
      ЧД</w:t>
      </w:r>
      <w:r>
        <w:rPr>
          <w:rFonts w:ascii="Times New Roman"/>
          <w:b w:val="false"/>
          <w:i w:val="false"/>
          <w:color w:val="000000"/>
          <w:vertAlign w:val="subscript"/>
        </w:rPr>
        <w:t>м</w:t>
      </w:r>
      <w:r>
        <w:rPr>
          <w:rFonts w:ascii="Times New Roman"/>
          <w:b w:val="false"/>
          <w:i w:val="false"/>
          <w:color w:val="000000"/>
          <w:sz w:val="28"/>
        </w:rPr>
        <w:t xml:space="preserve"> = НД</w:t>
      </w:r>
      <w:r>
        <w:rPr>
          <w:rFonts w:ascii="Times New Roman"/>
          <w:b w:val="false"/>
          <w:i w:val="false"/>
          <w:color w:val="000000"/>
          <w:vertAlign w:val="subscript"/>
        </w:rPr>
        <w:t>м</w:t>
      </w:r>
      <w:r>
        <w:rPr>
          <w:rFonts w:ascii="Times New Roman"/>
          <w:b w:val="false"/>
          <w:i w:val="false"/>
          <w:color w:val="000000"/>
          <w:sz w:val="28"/>
        </w:rPr>
        <w:t xml:space="preserve"> – КПН</w:t>
      </w:r>
      <w:r>
        <w:rPr>
          <w:rFonts w:ascii="Times New Roman"/>
          <w:b w:val="false"/>
          <w:i w:val="false"/>
          <w:color w:val="000000"/>
          <w:vertAlign w:val="subscript"/>
        </w:rPr>
        <w:t>м</w:t>
      </w:r>
      <w:r>
        <w:rPr>
          <w:rFonts w:ascii="Times New Roman"/>
          <w:b w:val="false"/>
          <w:i w:val="false"/>
          <w:color w:val="000000"/>
          <w:sz w:val="28"/>
        </w:rPr>
        <w:t>,</w:t>
      </w:r>
    </w:p>
    <w:bookmarkEnd w:id="76"/>
    <w:bookmarkStart w:name="z80" w:id="77"/>
    <w:p>
      <w:pPr>
        <w:spacing w:after="0"/>
        <w:ind w:left="0"/>
        <w:jc w:val="both"/>
      </w:pPr>
      <w:r>
        <w:rPr>
          <w:rFonts w:ascii="Times New Roman"/>
          <w:b w:val="false"/>
          <w:i w:val="false"/>
          <w:color w:val="000000"/>
          <w:sz w:val="28"/>
        </w:rPr>
        <w:t>
      где:</w:t>
      </w:r>
    </w:p>
    <w:bookmarkEnd w:id="77"/>
    <w:bookmarkStart w:name="z81" w:id="78"/>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xml:space="preserve">– налогооблагаемый доход по месторождению (группе  месторождений, части месторождения), уменьшенный на сумму доходов и  расходов, предусмотренных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по следующей формуле:</w:t>
      </w:r>
    </w:p>
    <w:bookmarkEnd w:id="78"/>
    <w:bookmarkStart w:name="z82" w:id="79"/>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м</w:t>
      </w:r>
      <w:r>
        <w:rPr>
          <w:rFonts w:ascii="Times New Roman"/>
          <w:b w:val="false"/>
          <w:i w:val="false"/>
          <w:color w:val="000000"/>
          <w:sz w:val="28"/>
        </w:rPr>
        <w:t xml:space="preserve"> = СГД</w:t>
      </w:r>
      <w:r>
        <w:rPr>
          <w:rFonts w:ascii="Times New Roman"/>
          <w:b w:val="false"/>
          <w:i w:val="false"/>
          <w:color w:val="000000"/>
          <w:vertAlign w:val="subscript"/>
        </w:rPr>
        <w:t>м</w:t>
      </w:r>
      <w:r>
        <w:rPr>
          <w:rFonts w:ascii="Times New Roman"/>
          <w:b w:val="false"/>
          <w:i w:val="false"/>
          <w:color w:val="000000"/>
          <w:sz w:val="28"/>
        </w:rPr>
        <w:t xml:space="preserve"> – В</w:t>
      </w:r>
      <w:r>
        <w:rPr>
          <w:rFonts w:ascii="Times New Roman"/>
          <w:b w:val="false"/>
          <w:i w:val="false"/>
          <w:color w:val="000000"/>
          <w:vertAlign w:val="subscript"/>
        </w:rPr>
        <w:t>м</w:t>
      </w:r>
      <w:r>
        <w:rPr>
          <w:rFonts w:ascii="Times New Roman"/>
          <w:b w:val="false"/>
          <w:i w:val="false"/>
          <w:color w:val="000000"/>
          <w:sz w:val="28"/>
        </w:rPr>
        <w:t>,</w:t>
      </w:r>
    </w:p>
    <w:bookmarkEnd w:id="79"/>
    <w:bookmarkStart w:name="z83" w:id="80"/>
    <w:p>
      <w:pPr>
        <w:spacing w:after="0"/>
        <w:ind w:left="0"/>
        <w:jc w:val="both"/>
      </w:pPr>
      <w:r>
        <w:rPr>
          <w:rFonts w:ascii="Times New Roman"/>
          <w:b w:val="false"/>
          <w:i w:val="false"/>
          <w:color w:val="000000"/>
          <w:sz w:val="28"/>
        </w:rPr>
        <w:t>
      где:</w:t>
      </w:r>
    </w:p>
    <w:bookmarkEnd w:id="80"/>
    <w:bookmarkStart w:name="z84" w:id="81"/>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xml:space="preserve">– вычеты по месторождению (группе месторождений, части  м месторождения), исчисленный в соответствии с условиями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w:t>
      </w:r>
    </w:p>
    <w:bookmarkEnd w:id="81"/>
    <w:bookmarkStart w:name="z85" w:id="82"/>
    <w:p>
      <w:pPr>
        <w:spacing w:after="0"/>
        <w:ind w:left="0"/>
        <w:jc w:val="both"/>
      </w:pPr>
      <w:r>
        <w:rPr>
          <w:rFonts w:ascii="Times New Roman"/>
          <w:b w:val="false"/>
          <w:i w:val="false"/>
          <w:color w:val="000000"/>
          <w:sz w:val="28"/>
        </w:rPr>
        <w:t>
      При определении налогооблагаемого дохода сумма вычетов за налоговый период не должна превышать сумму вычетов за предыдущий налоговый период, за исключением сумм вычетов за счет дополнительных налоговых обязательств, увеличения сумм вычетов за счет расходов, увеличение которых связано с повышением тарифов на регулируемые услуги (товары, работы) субъекта естественной монополии, а также увеличения вычетов по приобретению импортируемых товаров, связанных с ростом обменного курса национальной валюты по отношению к иностранным валютам и приобретению товаров, произведенных в Республике Казахстан, связанных с увеличением уровня годовой инфляции. В случае отклонения планируемого объема добычи минерального сырья в текущем незавершенном календарном году более чем на 10 % от уровня предыдущего года, сумма вычетов должна быть скорректирована на разницу в добываемых объемах.</w:t>
      </w:r>
    </w:p>
    <w:bookmarkEnd w:id="82"/>
    <w:bookmarkStart w:name="z86" w:id="83"/>
    <w:p>
      <w:pPr>
        <w:spacing w:after="0"/>
        <w:ind w:left="0"/>
        <w:jc w:val="both"/>
      </w:pPr>
      <w:r>
        <w:rPr>
          <w:rFonts w:ascii="Times New Roman"/>
          <w:b w:val="false"/>
          <w:i w:val="false"/>
          <w:color w:val="000000"/>
          <w:sz w:val="28"/>
        </w:rPr>
        <w:t>
      Размер совокупного годового дохода по месторождению (группе месторождений, части месторождения) определяется по следующей формуле:</w:t>
      </w:r>
    </w:p>
    <w:bookmarkEnd w:id="83"/>
    <w:bookmarkStart w:name="z87" w:id="84"/>
    <w:p>
      <w:pPr>
        <w:spacing w:after="0"/>
        <w:ind w:left="0"/>
        <w:jc w:val="both"/>
      </w:pPr>
      <w:r>
        <w:rPr>
          <w:rFonts w:ascii="Times New Roman"/>
          <w:b w:val="false"/>
          <w:i w:val="false"/>
          <w:color w:val="000000"/>
          <w:sz w:val="28"/>
        </w:rPr>
        <w:t>
      СГД</w:t>
      </w:r>
      <w:r>
        <w:rPr>
          <w:rFonts w:ascii="Times New Roman"/>
          <w:b w:val="false"/>
          <w:i w:val="false"/>
          <w:color w:val="000000"/>
          <w:vertAlign w:val="subscript"/>
        </w:rPr>
        <w:t>м</w:t>
      </w:r>
      <w:r>
        <w:rPr>
          <w:rFonts w:ascii="Times New Roman"/>
          <w:b w:val="false"/>
          <w:i w:val="false"/>
          <w:color w:val="000000"/>
          <w:sz w:val="28"/>
        </w:rPr>
        <w:t xml:space="preserve"> = ПС</w:t>
      </w:r>
      <w:r>
        <w:rPr>
          <w:rFonts w:ascii="Times New Roman"/>
          <w:b w:val="false"/>
          <w:i w:val="false"/>
          <w:color w:val="000000"/>
          <w:vertAlign w:val="subscript"/>
        </w:rPr>
        <w:t>м</w:t>
      </w:r>
      <w:r>
        <w:rPr>
          <w:rFonts w:ascii="Times New Roman"/>
          <w:b w:val="false"/>
          <w:i w:val="false"/>
          <w:color w:val="000000"/>
          <w:sz w:val="28"/>
        </w:rPr>
        <w:t xml:space="preserve"> + ЧЧДГП</w:t>
      </w:r>
      <w:r>
        <w:rPr>
          <w:rFonts w:ascii="Times New Roman"/>
          <w:b w:val="false"/>
          <w:i w:val="false"/>
          <w:color w:val="000000"/>
          <w:vertAlign w:val="subscript"/>
        </w:rPr>
        <w:t>м</w:t>
      </w:r>
      <w:r>
        <w:rPr>
          <w:rFonts w:ascii="Times New Roman"/>
          <w:b w:val="false"/>
          <w:i w:val="false"/>
          <w:color w:val="000000"/>
          <w:sz w:val="28"/>
        </w:rPr>
        <w:t>,</w:t>
      </w:r>
    </w:p>
    <w:bookmarkEnd w:id="84"/>
    <w:bookmarkStart w:name="z88" w:id="85"/>
    <w:p>
      <w:pPr>
        <w:spacing w:after="0"/>
        <w:ind w:left="0"/>
        <w:jc w:val="both"/>
      </w:pPr>
      <w:r>
        <w:rPr>
          <w:rFonts w:ascii="Times New Roman"/>
          <w:b w:val="false"/>
          <w:i w:val="false"/>
          <w:color w:val="000000"/>
          <w:sz w:val="28"/>
        </w:rPr>
        <w:t>
      где:</w:t>
      </w:r>
    </w:p>
    <w:bookmarkEnd w:id="85"/>
    <w:bookmarkStart w:name="z89" w:id="86"/>
    <w:p>
      <w:pPr>
        <w:spacing w:after="0"/>
        <w:ind w:left="0"/>
        <w:jc w:val="both"/>
      </w:pPr>
      <w:r>
        <w:rPr>
          <w:rFonts w:ascii="Times New Roman"/>
          <w:b w:val="false"/>
          <w:i w:val="false"/>
          <w:color w:val="000000"/>
          <w:sz w:val="28"/>
        </w:rPr>
        <w:t>
      ПС</w:t>
      </w:r>
      <w:r>
        <w:rPr>
          <w:rFonts w:ascii="Times New Roman"/>
          <w:b w:val="false"/>
          <w:i w:val="false"/>
          <w:color w:val="000000"/>
          <w:vertAlign w:val="subscript"/>
        </w:rPr>
        <w:t>м</w:t>
      </w:r>
      <w:r>
        <w:rPr>
          <w:rFonts w:ascii="Times New Roman"/>
          <w:b w:val="false"/>
          <w:i w:val="false"/>
          <w:color w:val="000000"/>
          <w:sz w:val="28"/>
        </w:rPr>
        <w:t xml:space="preserve"> – полная себестоимость минерального сырья и первичной  переработки, добытого по отдельному месторождению (группе месторождений, части месторождения);</w:t>
      </w:r>
    </w:p>
    <w:bookmarkEnd w:id="86"/>
    <w:bookmarkStart w:name="z90" w:id="87"/>
    <w:p>
      <w:pPr>
        <w:spacing w:after="0"/>
        <w:ind w:left="0"/>
        <w:jc w:val="both"/>
      </w:pPr>
      <w:r>
        <w:rPr>
          <w:rFonts w:ascii="Times New Roman"/>
          <w:b w:val="false"/>
          <w:i w:val="false"/>
          <w:color w:val="000000"/>
          <w:sz w:val="28"/>
        </w:rPr>
        <w:t>
      ЧЧДГП</w:t>
      </w:r>
      <w:r>
        <w:rPr>
          <w:rFonts w:ascii="Times New Roman"/>
          <w:b w:val="false"/>
          <w:i w:val="false"/>
          <w:color w:val="000000"/>
          <w:vertAlign w:val="subscript"/>
        </w:rPr>
        <w:t>м</w:t>
      </w:r>
      <w:r>
        <w:rPr>
          <w:rFonts w:ascii="Times New Roman"/>
          <w:b w:val="false"/>
          <w:i w:val="false"/>
          <w:color w:val="000000"/>
          <w:sz w:val="28"/>
        </w:rPr>
        <w:t xml:space="preserve"> – часть чистого дохода от реализации готовой продукции,  произведенной из добытого минерального сырья по месторождению (группе  месторождений, части месторождения), определяемая по следующей формуле:</w:t>
      </w:r>
    </w:p>
    <w:bookmarkEnd w:id="87"/>
    <w:bookmarkStart w:name="z91" w:id="88"/>
    <w:p>
      <w:pPr>
        <w:spacing w:after="0"/>
        <w:ind w:left="0"/>
        <w:jc w:val="both"/>
      </w:pPr>
      <w:r>
        <w:rPr>
          <w:rFonts w:ascii="Times New Roman"/>
          <w:b w:val="false"/>
          <w:i w:val="false"/>
          <w:color w:val="000000"/>
          <w:sz w:val="28"/>
        </w:rPr>
        <w:t>
      ЧЧДГП</w:t>
      </w:r>
      <w:r>
        <w:rPr>
          <w:rFonts w:ascii="Times New Roman"/>
          <w:b w:val="false"/>
          <w:i w:val="false"/>
          <w:color w:val="000000"/>
          <w:vertAlign w:val="subscript"/>
        </w:rPr>
        <w:t>м</w:t>
      </w:r>
      <w:r>
        <w:rPr>
          <w:rFonts w:ascii="Times New Roman"/>
          <w:b w:val="false"/>
          <w:i w:val="false"/>
          <w:color w:val="000000"/>
          <w:sz w:val="28"/>
        </w:rPr>
        <w:t xml:space="preserve"> = ПС</w:t>
      </w:r>
      <w:r>
        <w:rPr>
          <w:rFonts w:ascii="Times New Roman"/>
          <w:b w:val="false"/>
          <w:i w:val="false"/>
          <w:color w:val="000000"/>
          <w:vertAlign w:val="subscript"/>
        </w:rPr>
        <w:t>м</w:t>
      </w:r>
      <w:r>
        <w:rPr>
          <w:rFonts w:ascii="Times New Roman"/>
          <w:b w:val="false"/>
          <w:i w:val="false"/>
          <w:color w:val="000000"/>
          <w:sz w:val="28"/>
        </w:rPr>
        <w:t xml:space="preserve"> / ПС</w:t>
      </w:r>
      <w:r>
        <w:rPr>
          <w:rFonts w:ascii="Times New Roman"/>
          <w:b w:val="false"/>
          <w:i w:val="false"/>
          <w:color w:val="000000"/>
          <w:vertAlign w:val="subscript"/>
        </w:rPr>
        <w:t>гп</w:t>
      </w:r>
      <w:r>
        <w:rPr>
          <w:rFonts w:ascii="Times New Roman"/>
          <w:b w:val="false"/>
          <w:i w:val="false"/>
          <w:color w:val="000000"/>
          <w:sz w:val="28"/>
        </w:rPr>
        <w:t>* (ДРГП – ПС</w:t>
      </w:r>
      <w:r>
        <w:rPr>
          <w:rFonts w:ascii="Times New Roman"/>
          <w:b w:val="false"/>
          <w:i w:val="false"/>
          <w:color w:val="000000"/>
          <w:vertAlign w:val="subscript"/>
        </w:rPr>
        <w:t>гп</w:t>
      </w:r>
      <w:r>
        <w:rPr>
          <w:rFonts w:ascii="Times New Roman"/>
          <w:b w:val="false"/>
          <w:i w:val="false"/>
          <w:color w:val="000000"/>
          <w:sz w:val="28"/>
        </w:rPr>
        <w:t>),</w:t>
      </w:r>
    </w:p>
    <w:bookmarkEnd w:id="88"/>
    <w:bookmarkStart w:name="z92" w:id="89"/>
    <w:p>
      <w:pPr>
        <w:spacing w:after="0"/>
        <w:ind w:left="0"/>
        <w:jc w:val="both"/>
      </w:pPr>
      <w:r>
        <w:rPr>
          <w:rFonts w:ascii="Times New Roman"/>
          <w:b w:val="false"/>
          <w:i w:val="false"/>
          <w:color w:val="000000"/>
          <w:sz w:val="28"/>
        </w:rPr>
        <w:t>
      где:</w:t>
      </w:r>
    </w:p>
    <w:bookmarkEnd w:id="89"/>
    <w:bookmarkStart w:name="z93" w:id="90"/>
    <w:p>
      <w:pPr>
        <w:spacing w:after="0"/>
        <w:ind w:left="0"/>
        <w:jc w:val="both"/>
      </w:pPr>
      <w:r>
        <w:rPr>
          <w:rFonts w:ascii="Times New Roman"/>
          <w:b w:val="false"/>
          <w:i w:val="false"/>
          <w:color w:val="000000"/>
          <w:sz w:val="28"/>
        </w:rPr>
        <w:t>
      ПС</w:t>
      </w:r>
      <w:r>
        <w:rPr>
          <w:rFonts w:ascii="Times New Roman"/>
          <w:b w:val="false"/>
          <w:i w:val="false"/>
          <w:color w:val="000000"/>
          <w:vertAlign w:val="subscript"/>
        </w:rPr>
        <w:t>гп</w:t>
      </w:r>
      <w:r>
        <w:rPr>
          <w:rFonts w:ascii="Times New Roman"/>
          <w:b w:val="false"/>
          <w:i w:val="false"/>
          <w:color w:val="000000"/>
          <w:sz w:val="28"/>
        </w:rPr>
        <w:t xml:space="preserve"> – полная себестоимость готовой продукции;</w:t>
      </w:r>
    </w:p>
    <w:bookmarkEnd w:id="90"/>
    <w:bookmarkStart w:name="z94" w:id="91"/>
    <w:p>
      <w:pPr>
        <w:spacing w:after="0"/>
        <w:ind w:left="0"/>
        <w:jc w:val="both"/>
      </w:pPr>
      <w:r>
        <w:rPr>
          <w:rFonts w:ascii="Times New Roman"/>
          <w:b w:val="false"/>
          <w:i w:val="false"/>
          <w:color w:val="000000"/>
          <w:sz w:val="28"/>
        </w:rPr>
        <w:t>
      ДРГП – доход от реализации готовой продукции, произведенной из добытого минерального сырья.</w:t>
      </w:r>
    </w:p>
    <w:bookmarkEnd w:id="91"/>
    <w:bookmarkStart w:name="z95" w:id="92"/>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xml:space="preserve">– корпоративный подоходный налог по месторождению (группе  месторождений, части месторождения) определяется по следующей формуле: </w:t>
      </w:r>
    </w:p>
    <w:bookmarkEnd w:id="92"/>
    <w:bookmarkStart w:name="z96" w:id="93"/>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м</w:t>
      </w:r>
      <w:r>
        <w:rPr>
          <w:rFonts w:ascii="Times New Roman"/>
          <w:b w:val="false"/>
          <w:i w:val="false"/>
          <w:color w:val="000000"/>
          <w:sz w:val="28"/>
        </w:rPr>
        <w:t xml:space="preserve"> = НД</w:t>
      </w:r>
      <w:r>
        <w:rPr>
          <w:rFonts w:ascii="Times New Roman"/>
          <w:b w:val="false"/>
          <w:i w:val="false"/>
          <w:color w:val="000000"/>
          <w:vertAlign w:val="subscript"/>
        </w:rPr>
        <w:t>м</w:t>
      </w:r>
      <w:r>
        <w:rPr>
          <w:rFonts w:ascii="Times New Roman"/>
          <w:b w:val="false"/>
          <w:i w:val="false"/>
          <w:color w:val="000000"/>
          <w:sz w:val="28"/>
        </w:rPr>
        <w:t xml:space="preserve"> * Ст,</w:t>
      </w:r>
    </w:p>
    <w:bookmarkEnd w:id="93"/>
    <w:bookmarkStart w:name="z97" w:id="94"/>
    <w:p>
      <w:pPr>
        <w:spacing w:after="0"/>
        <w:ind w:left="0"/>
        <w:jc w:val="both"/>
      </w:pPr>
      <w:r>
        <w:rPr>
          <w:rFonts w:ascii="Times New Roman"/>
          <w:b w:val="false"/>
          <w:i w:val="false"/>
          <w:color w:val="000000"/>
          <w:sz w:val="28"/>
        </w:rPr>
        <w:t>
      где:</w:t>
      </w:r>
    </w:p>
    <w:bookmarkEnd w:id="94"/>
    <w:bookmarkStart w:name="z98" w:id="95"/>
    <w:p>
      <w:pPr>
        <w:spacing w:after="0"/>
        <w:ind w:left="0"/>
        <w:jc w:val="both"/>
      </w:pPr>
      <w:r>
        <w:rPr>
          <w:rFonts w:ascii="Times New Roman"/>
          <w:b w:val="false"/>
          <w:i w:val="false"/>
          <w:color w:val="000000"/>
          <w:sz w:val="28"/>
        </w:rPr>
        <w:t xml:space="preserve">
      Ст – ставка корпоративного подоходного налога в процентах, установленная </w:t>
      </w:r>
      <w:r>
        <w:rPr>
          <w:rFonts w:ascii="Times New Roman"/>
          <w:b w:val="false"/>
          <w:i w:val="false"/>
          <w:color w:val="000000"/>
          <w:sz w:val="28"/>
        </w:rPr>
        <w:t>статьей 147</w:t>
      </w:r>
      <w:r>
        <w:rPr>
          <w:rFonts w:ascii="Times New Roman"/>
          <w:b w:val="false"/>
          <w:i w:val="false"/>
          <w:color w:val="000000"/>
          <w:sz w:val="28"/>
        </w:rPr>
        <w:t xml:space="preserve"> Налогового кодекса;</w:t>
      </w:r>
    </w:p>
    <w:bookmarkEnd w:id="95"/>
    <w:bookmarkStart w:name="z99" w:id="96"/>
    <w:p>
      <w:pPr>
        <w:spacing w:after="0"/>
        <w:ind w:left="0"/>
        <w:jc w:val="both"/>
      </w:pPr>
      <w:r>
        <w:rPr>
          <w:rFonts w:ascii="Times New Roman"/>
          <w:b w:val="false"/>
          <w:i w:val="false"/>
          <w:color w:val="000000"/>
          <w:sz w:val="28"/>
        </w:rPr>
        <w:t>
      3) планируемый уровень рентабельности по многокомпонентному месторождению (группе месторождений, части месторождения) определяется по следующей формуле:</w:t>
      </w:r>
    </w:p>
    <w:bookmarkEnd w:id="96"/>
    <w:bookmarkStart w:name="z100" w:id="9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w:t>
      </w:r>
      <w:r>
        <w:rPr>
          <w:rFonts w:ascii="Times New Roman"/>
          <w:b w:val="false"/>
          <w:i w:val="false"/>
          <w:color w:val="000000"/>
          <w:sz w:val="28"/>
        </w:rPr>
        <w:t xml:space="preserve"> = ЧД</w:t>
      </w:r>
      <w:r>
        <w:rPr>
          <w:rFonts w:ascii="Times New Roman"/>
          <w:b w:val="false"/>
          <w:i w:val="false"/>
          <w:color w:val="000000"/>
          <w:vertAlign w:val="subscript"/>
        </w:rPr>
        <w:t>м</w:t>
      </w:r>
      <w:r>
        <w:rPr>
          <w:rFonts w:ascii="Times New Roman"/>
          <w:b w:val="false"/>
          <w:i w:val="false"/>
          <w:color w:val="000000"/>
          <w:sz w:val="28"/>
        </w:rPr>
        <w:t xml:space="preserve"> / СГД</w:t>
      </w:r>
      <w:r>
        <w:rPr>
          <w:rFonts w:ascii="Times New Roman"/>
          <w:b w:val="false"/>
          <w:i w:val="false"/>
          <w:color w:val="000000"/>
          <w:vertAlign w:val="subscript"/>
        </w:rPr>
        <w:t>м</w:t>
      </w:r>
      <w:r>
        <w:rPr>
          <w:rFonts w:ascii="Times New Roman"/>
          <w:b w:val="false"/>
          <w:i w:val="false"/>
          <w:color w:val="000000"/>
          <w:sz w:val="28"/>
        </w:rPr>
        <w:t xml:space="preserve"> * 100 %,</w:t>
      </w:r>
    </w:p>
    <w:bookmarkEnd w:id="97"/>
    <w:bookmarkStart w:name="z101" w:id="98"/>
    <w:p>
      <w:pPr>
        <w:spacing w:after="0"/>
        <w:ind w:left="0"/>
        <w:jc w:val="both"/>
      </w:pPr>
      <w:r>
        <w:rPr>
          <w:rFonts w:ascii="Times New Roman"/>
          <w:b w:val="false"/>
          <w:i w:val="false"/>
          <w:color w:val="000000"/>
          <w:sz w:val="28"/>
        </w:rPr>
        <w:t>
      где:</w:t>
      </w:r>
    </w:p>
    <w:bookmarkEnd w:id="98"/>
    <w:bookmarkStart w:name="z102" w:id="9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рентабельность по месторождению (группе месторождений,  части месторождения);</w:t>
      </w:r>
    </w:p>
    <w:bookmarkEnd w:id="99"/>
    <w:bookmarkStart w:name="z103" w:id="100"/>
    <w:p>
      <w:pPr>
        <w:spacing w:after="0"/>
        <w:ind w:left="0"/>
        <w:jc w:val="both"/>
      </w:pPr>
      <w:r>
        <w:rPr>
          <w:rFonts w:ascii="Times New Roman"/>
          <w:b w:val="false"/>
          <w:i w:val="false"/>
          <w:color w:val="000000"/>
          <w:sz w:val="28"/>
        </w:rPr>
        <w:t>
      ЧД</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чистый доход по месторождению (группе месторождений,   части месторождения), исчисленный в соответствии с настоящим пунктом Правил.</w:t>
      </w:r>
    </w:p>
    <w:bookmarkEnd w:id="100"/>
    <w:bookmarkStart w:name="z104" w:id="101"/>
    <w:p>
      <w:pPr>
        <w:spacing w:after="0"/>
        <w:ind w:left="0"/>
        <w:jc w:val="both"/>
      </w:pPr>
      <w:r>
        <w:rPr>
          <w:rFonts w:ascii="Times New Roman"/>
          <w:b w:val="false"/>
          <w:i w:val="false"/>
          <w:color w:val="000000"/>
          <w:sz w:val="28"/>
        </w:rPr>
        <w:t>
      Размер чистого дохода по месторождению (группе месторождений,  части месторождения) за налоговый период определяется по следующей формуле:</w:t>
      </w:r>
    </w:p>
    <w:bookmarkEnd w:id="101"/>
    <w:bookmarkStart w:name="z105" w:id="102"/>
    <w:p>
      <w:pPr>
        <w:spacing w:after="0"/>
        <w:ind w:left="0"/>
        <w:jc w:val="both"/>
      </w:pPr>
      <w:r>
        <w:rPr>
          <w:rFonts w:ascii="Times New Roman"/>
          <w:b w:val="false"/>
          <w:i w:val="false"/>
          <w:color w:val="000000"/>
          <w:sz w:val="28"/>
        </w:rPr>
        <w:t>
      ЧД</w:t>
      </w:r>
      <w:r>
        <w:rPr>
          <w:rFonts w:ascii="Times New Roman"/>
          <w:b w:val="false"/>
          <w:i w:val="false"/>
          <w:color w:val="000000"/>
          <w:vertAlign w:val="subscript"/>
        </w:rPr>
        <w:t>м</w:t>
      </w:r>
      <w:r>
        <w:rPr>
          <w:rFonts w:ascii="Times New Roman"/>
          <w:b w:val="false"/>
          <w:i w:val="false"/>
          <w:color w:val="000000"/>
          <w:sz w:val="28"/>
        </w:rPr>
        <w:t xml:space="preserve"> = НД</w:t>
      </w:r>
      <w:r>
        <w:rPr>
          <w:rFonts w:ascii="Times New Roman"/>
          <w:b w:val="false"/>
          <w:i w:val="false"/>
          <w:color w:val="000000"/>
          <w:vertAlign w:val="subscript"/>
        </w:rPr>
        <w:t>м</w:t>
      </w:r>
      <w:r>
        <w:rPr>
          <w:rFonts w:ascii="Times New Roman"/>
          <w:b w:val="false"/>
          <w:i w:val="false"/>
          <w:color w:val="000000"/>
          <w:sz w:val="28"/>
        </w:rPr>
        <w:t xml:space="preserve"> – КПН</w:t>
      </w:r>
      <w:r>
        <w:rPr>
          <w:rFonts w:ascii="Times New Roman"/>
          <w:b w:val="false"/>
          <w:i w:val="false"/>
          <w:color w:val="000000"/>
          <w:vertAlign w:val="subscript"/>
        </w:rPr>
        <w:t>м</w:t>
      </w:r>
      <w:r>
        <w:rPr>
          <w:rFonts w:ascii="Times New Roman"/>
          <w:b w:val="false"/>
          <w:i w:val="false"/>
          <w:color w:val="000000"/>
          <w:sz w:val="28"/>
        </w:rPr>
        <w:t>,</w:t>
      </w:r>
    </w:p>
    <w:bookmarkEnd w:id="102"/>
    <w:bookmarkStart w:name="z106" w:id="103"/>
    <w:p>
      <w:pPr>
        <w:spacing w:after="0"/>
        <w:ind w:left="0"/>
        <w:jc w:val="both"/>
      </w:pPr>
      <w:r>
        <w:rPr>
          <w:rFonts w:ascii="Times New Roman"/>
          <w:b w:val="false"/>
          <w:i w:val="false"/>
          <w:color w:val="000000"/>
          <w:sz w:val="28"/>
        </w:rPr>
        <w:t>
      где:</w:t>
      </w:r>
    </w:p>
    <w:bookmarkEnd w:id="103"/>
    <w:bookmarkStart w:name="z107" w:id="104"/>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xml:space="preserve">– налогооблагаемый доход по месторождению (группе  месторождений, части месторождения), уменьшенный на сумму доходов и расходов, предусмотренных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по следующей формуле:</w:t>
      </w:r>
    </w:p>
    <w:bookmarkEnd w:id="104"/>
    <w:bookmarkStart w:name="z108" w:id="105"/>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м</w:t>
      </w:r>
      <w:r>
        <w:rPr>
          <w:rFonts w:ascii="Times New Roman"/>
          <w:b w:val="false"/>
          <w:i w:val="false"/>
          <w:color w:val="000000"/>
          <w:sz w:val="28"/>
        </w:rPr>
        <w:t xml:space="preserve"> = СГД</w:t>
      </w:r>
      <w:r>
        <w:rPr>
          <w:rFonts w:ascii="Times New Roman"/>
          <w:b w:val="false"/>
          <w:i w:val="false"/>
          <w:color w:val="000000"/>
          <w:vertAlign w:val="subscript"/>
        </w:rPr>
        <w:t>м</w:t>
      </w:r>
      <w:r>
        <w:rPr>
          <w:rFonts w:ascii="Times New Roman"/>
          <w:b w:val="false"/>
          <w:i w:val="false"/>
          <w:color w:val="000000"/>
          <w:sz w:val="28"/>
        </w:rPr>
        <w:t xml:space="preserve"> – В</w:t>
      </w:r>
      <w:r>
        <w:rPr>
          <w:rFonts w:ascii="Times New Roman"/>
          <w:b w:val="false"/>
          <w:i w:val="false"/>
          <w:color w:val="000000"/>
          <w:vertAlign w:val="subscript"/>
        </w:rPr>
        <w:t>м</w:t>
      </w:r>
      <w:r>
        <w:rPr>
          <w:rFonts w:ascii="Times New Roman"/>
          <w:b w:val="false"/>
          <w:i w:val="false"/>
          <w:color w:val="000000"/>
          <w:sz w:val="28"/>
        </w:rPr>
        <w:t>,</w:t>
      </w:r>
    </w:p>
    <w:bookmarkEnd w:id="105"/>
    <w:bookmarkStart w:name="z109" w:id="106"/>
    <w:p>
      <w:pPr>
        <w:spacing w:after="0"/>
        <w:ind w:left="0"/>
        <w:jc w:val="both"/>
      </w:pPr>
      <w:r>
        <w:rPr>
          <w:rFonts w:ascii="Times New Roman"/>
          <w:b w:val="false"/>
          <w:i w:val="false"/>
          <w:color w:val="000000"/>
          <w:sz w:val="28"/>
        </w:rPr>
        <w:t>
      где:</w:t>
      </w:r>
    </w:p>
    <w:bookmarkEnd w:id="106"/>
    <w:bookmarkStart w:name="z110" w:id="10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xml:space="preserve">– вычеты по месторождению (группе месторождений, части  месторождения), исчисленные в соответствии с условиями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w:t>
      </w:r>
    </w:p>
    <w:bookmarkEnd w:id="107"/>
    <w:bookmarkStart w:name="z111" w:id="108"/>
    <w:p>
      <w:pPr>
        <w:spacing w:after="0"/>
        <w:ind w:left="0"/>
        <w:jc w:val="both"/>
      </w:pPr>
      <w:r>
        <w:rPr>
          <w:rFonts w:ascii="Times New Roman"/>
          <w:b w:val="false"/>
          <w:i w:val="false"/>
          <w:color w:val="000000"/>
          <w:sz w:val="28"/>
        </w:rPr>
        <w:t>
      При определении налогооблагаемого дохода сумма вычетов за налоговый период не должна превышать сумму вычетов за предыдущий налоговый период, за исключением сумм вычетов за счет дополнительных налоговых обязательств, увеличения сумм вычетов за счет расходов, увеличение которых связано с повышением тарифов на регулируемые услуги (товары, работы) субъекта естественной монополии, а также увеличения вычетов по приобретению импортируемых товаров, связанных с ростом обменного курса национальной валюты по отношению к иностранным валютам и приобретению товаров, произведенных в Республике Казахстан, связанных с увеличением уровня годовой инфляции. В случае отклонения планируемого объема добычи минерального сырья в текущем незавершенном календарном году более чем на 10 % от уровня предыдущего года, сумма вычетов должна быть скорректирована на разницу в добываемых объемах.</w:t>
      </w:r>
    </w:p>
    <w:bookmarkEnd w:id="108"/>
    <w:bookmarkStart w:name="z112" w:id="109"/>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корпоративный подоходный налог по месторождению (группе  месторождений, части месторождения) определяется по следующей формуле:</w:t>
      </w:r>
    </w:p>
    <w:bookmarkEnd w:id="109"/>
    <w:bookmarkStart w:name="z113" w:id="110"/>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м</w:t>
      </w:r>
      <w:r>
        <w:rPr>
          <w:rFonts w:ascii="Times New Roman"/>
          <w:b w:val="false"/>
          <w:i w:val="false"/>
          <w:color w:val="000000"/>
          <w:sz w:val="28"/>
        </w:rPr>
        <w:t xml:space="preserve"> = НД</w:t>
      </w:r>
      <w:r>
        <w:rPr>
          <w:rFonts w:ascii="Times New Roman"/>
          <w:b w:val="false"/>
          <w:i w:val="false"/>
          <w:color w:val="000000"/>
          <w:vertAlign w:val="subscript"/>
        </w:rPr>
        <w:t>м</w:t>
      </w:r>
      <w:r>
        <w:rPr>
          <w:rFonts w:ascii="Times New Roman"/>
          <w:b w:val="false"/>
          <w:i w:val="false"/>
          <w:color w:val="000000"/>
          <w:sz w:val="28"/>
        </w:rPr>
        <w:t xml:space="preserve"> * Ст,</w:t>
      </w:r>
    </w:p>
    <w:bookmarkEnd w:id="110"/>
    <w:bookmarkStart w:name="z114" w:id="111"/>
    <w:p>
      <w:pPr>
        <w:spacing w:after="0"/>
        <w:ind w:left="0"/>
        <w:jc w:val="both"/>
      </w:pPr>
      <w:r>
        <w:rPr>
          <w:rFonts w:ascii="Times New Roman"/>
          <w:b w:val="false"/>
          <w:i w:val="false"/>
          <w:color w:val="000000"/>
          <w:sz w:val="28"/>
        </w:rPr>
        <w:t>
      где:</w:t>
      </w:r>
    </w:p>
    <w:bookmarkEnd w:id="111"/>
    <w:bookmarkStart w:name="z115" w:id="112"/>
    <w:p>
      <w:pPr>
        <w:spacing w:after="0"/>
        <w:ind w:left="0"/>
        <w:jc w:val="both"/>
      </w:pPr>
      <w:r>
        <w:rPr>
          <w:rFonts w:ascii="Times New Roman"/>
          <w:b w:val="false"/>
          <w:i w:val="false"/>
          <w:color w:val="000000"/>
          <w:sz w:val="28"/>
        </w:rPr>
        <w:t xml:space="preserve">
      Ст – ставка корпоративного подоходного налога в процентах, установленная </w:t>
      </w:r>
      <w:r>
        <w:rPr>
          <w:rFonts w:ascii="Times New Roman"/>
          <w:b w:val="false"/>
          <w:i w:val="false"/>
          <w:color w:val="000000"/>
          <w:sz w:val="28"/>
        </w:rPr>
        <w:t>статьей 147</w:t>
      </w:r>
      <w:r>
        <w:rPr>
          <w:rFonts w:ascii="Times New Roman"/>
          <w:b w:val="false"/>
          <w:i w:val="false"/>
          <w:color w:val="000000"/>
          <w:sz w:val="28"/>
        </w:rPr>
        <w:t xml:space="preserve"> Налогового кодекса. Размер совокупного годового дохода по месторождению (группе месторождений, части месторождения) определяется по следующей формуле:</w:t>
      </w:r>
    </w:p>
    <w:bookmarkEnd w:id="112"/>
    <w:bookmarkStart w:name="z116" w:id="113"/>
    <w:p>
      <w:pPr>
        <w:spacing w:after="0"/>
        <w:ind w:left="0"/>
        <w:jc w:val="both"/>
      </w:pPr>
      <w:r>
        <w:rPr>
          <w:rFonts w:ascii="Times New Roman"/>
          <w:b w:val="false"/>
          <w:i w:val="false"/>
          <w:color w:val="000000"/>
          <w:sz w:val="28"/>
        </w:rPr>
        <w:t>
      СГД</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СГД</w:t>
      </w:r>
      <w:r>
        <w:rPr>
          <w:rFonts w:ascii="Times New Roman"/>
          <w:b w:val="false"/>
          <w:i w:val="false"/>
          <w:color w:val="000000"/>
          <w:vertAlign w:val="subscript"/>
        </w:rPr>
        <w:t>м1</w:t>
      </w:r>
      <w:r>
        <w:rPr>
          <w:rFonts w:ascii="Times New Roman"/>
          <w:b w:val="false"/>
          <w:i w:val="false"/>
          <w:color w:val="000000"/>
          <w:sz w:val="28"/>
        </w:rPr>
        <w:t xml:space="preserve"> * К</w:t>
      </w:r>
      <w:r>
        <w:rPr>
          <w:rFonts w:ascii="Times New Roman"/>
          <w:b w:val="false"/>
          <w:i w:val="false"/>
          <w:color w:val="000000"/>
          <w:vertAlign w:val="subscript"/>
        </w:rPr>
        <w:t>к.д</w:t>
      </w:r>
      <w:r>
        <w:rPr>
          <w:rFonts w:ascii="Times New Roman"/>
          <w:b w:val="false"/>
          <w:i w:val="false"/>
          <w:color w:val="000000"/>
          <w:vertAlign w:val="subscript"/>
        </w:rPr>
        <w:t>.</w:t>
      </w:r>
      <w:r>
        <w:rPr>
          <w:rFonts w:ascii="Times New Roman"/>
          <w:b w:val="false"/>
          <w:i w:val="false"/>
          <w:color w:val="000000"/>
          <w:sz w:val="28"/>
        </w:rPr>
        <w:t>,</w:t>
      </w:r>
    </w:p>
    <w:bookmarkEnd w:id="113"/>
    <w:bookmarkStart w:name="z117" w:id="114"/>
    <w:p>
      <w:pPr>
        <w:spacing w:after="0"/>
        <w:ind w:left="0"/>
        <w:jc w:val="both"/>
      </w:pPr>
      <w:r>
        <w:rPr>
          <w:rFonts w:ascii="Times New Roman"/>
          <w:b w:val="false"/>
          <w:i w:val="false"/>
          <w:color w:val="000000"/>
          <w:sz w:val="28"/>
        </w:rPr>
        <w:t>
      где:</w:t>
      </w:r>
    </w:p>
    <w:bookmarkEnd w:id="114"/>
    <w:bookmarkStart w:name="z118" w:id="115"/>
    <w:p>
      <w:pPr>
        <w:spacing w:after="0"/>
        <w:ind w:left="0"/>
        <w:jc w:val="both"/>
      </w:pPr>
      <w:r>
        <w:rPr>
          <w:rFonts w:ascii="Times New Roman"/>
          <w:b w:val="false"/>
          <w:i w:val="false"/>
          <w:color w:val="000000"/>
          <w:sz w:val="28"/>
        </w:rPr>
        <w:t>
      СГД</w:t>
      </w:r>
      <w:r>
        <w:rPr>
          <w:rFonts w:ascii="Times New Roman"/>
          <w:b w:val="false"/>
          <w:i w:val="false"/>
          <w:color w:val="000000"/>
          <w:vertAlign w:val="subscript"/>
        </w:rPr>
        <w:t>м1</w:t>
      </w:r>
      <w:r>
        <w:rPr>
          <w:rFonts w:ascii="Times New Roman"/>
          <w:b w:val="false"/>
          <w:i w:val="false"/>
          <w:color w:val="000000"/>
          <w:sz w:val="28"/>
        </w:rPr>
        <w:t xml:space="preserve"> – совокупный годовой доход в целом по реализации товарной  продукции по видам полезных ископаемых, добытых в рамках месторождения (группы месторождений, части месторождения), исходя из удельного веса содержания полезного ископаемого в руде, который исчисляется следующим образом:</w:t>
      </w:r>
    </w:p>
    <w:bookmarkEnd w:id="115"/>
    <w:bookmarkStart w:name="z119" w:id="116"/>
    <w:p>
      <w:pPr>
        <w:spacing w:after="0"/>
        <w:ind w:left="0"/>
        <w:jc w:val="both"/>
      </w:pPr>
      <w:r>
        <w:rPr>
          <w:rFonts w:ascii="Times New Roman"/>
          <w:b w:val="false"/>
          <w:i w:val="false"/>
          <w:color w:val="000000"/>
          <w:sz w:val="28"/>
        </w:rPr>
        <w:t>
      СГД</w:t>
      </w:r>
      <w:r>
        <w:rPr>
          <w:rFonts w:ascii="Times New Roman"/>
          <w:b w:val="false"/>
          <w:i w:val="false"/>
          <w:color w:val="000000"/>
          <w:vertAlign w:val="subscript"/>
        </w:rPr>
        <w:t>м1</w:t>
      </w:r>
      <w:r>
        <w:rPr>
          <w:rFonts w:ascii="Times New Roman"/>
          <w:b w:val="false"/>
          <w:i w:val="false"/>
          <w:color w:val="000000"/>
          <w:sz w:val="28"/>
        </w:rPr>
        <w:t xml:space="preserve"> =(Т</w:t>
      </w:r>
      <w:r>
        <w:rPr>
          <w:rFonts w:ascii="Times New Roman"/>
          <w:b w:val="false"/>
          <w:i w:val="false"/>
          <w:color w:val="000000"/>
          <w:vertAlign w:val="subscript"/>
        </w:rPr>
        <w:t>р</w:t>
      </w:r>
      <w:r>
        <w:rPr>
          <w:rFonts w:ascii="Times New Roman"/>
          <w:b w:val="false"/>
          <w:i w:val="false"/>
          <w:color w:val="000000"/>
          <w:sz w:val="28"/>
        </w:rPr>
        <w:t>/Т</w:t>
      </w:r>
      <w:r>
        <w:rPr>
          <w:rFonts w:ascii="Times New Roman"/>
          <w:b w:val="false"/>
          <w:i w:val="false"/>
          <w:color w:val="000000"/>
          <w:vertAlign w:val="subscript"/>
        </w:rPr>
        <w:t>д</w:t>
      </w:r>
      <w:r>
        <w:rPr>
          <w:rFonts w:ascii="Times New Roman"/>
          <w:b w:val="false"/>
          <w:i w:val="false"/>
          <w:color w:val="000000"/>
          <w:sz w:val="28"/>
        </w:rPr>
        <w:t xml:space="preserve"> * Т</w:t>
      </w:r>
      <w:r>
        <w:rPr>
          <w:rFonts w:ascii="Times New Roman"/>
          <w:b w:val="false"/>
          <w:i w:val="false"/>
          <w:color w:val="000000"/>
          <w:vertAlign w:val="subscript"/>
        </w:rPr>
        <w:t>дк</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*Ц</w:t>
      </w:r>
      <w:r>
        <w:rPr>
          <w:rFonts w:ascii="Times New Roman"/>
          <w:b w:val="false"/>
          <w:i w:val="false"/>
          <w:color w:val="000000"/>
          <w:vertAlign w:val="subscript"/>
        </w:rPr>
        <w:t>1</w:t>
      </w:r>
      <w:r>
        <w:rPr>
          <w:rFonts w:ascii="Times New Roman"/>
          <w:b w:val="false"/>
          <w:i w:val="false"/>
          <w:color w:val="000000"/>
          <w:sz w:val="28"/>
        </w:rPr>
        <w:t>+(Т</w:t>
      </w:r>
      <w:r>
        <w:rPr>
          <w:rFonts w:ascii="Times New Roman"/>
          <w:b w:val="false"/>
          <w:i w:val="false"/>
          <w:color w:val="000000"/>
          <w:vertAlign w:val="subscript"/>
        </w:rPr>
        <w:t>р</w:t>
      </w:r>
      <w:r>
        <w:rPr>
          <w:rFonts w:ascii="Times New Roman"/>
          <w:b w:val="false"/>
          <w:i w:val="false"/>
          <w:color w:val="000000"/>
          <w:sz w:val="28"/>
        </w:rPr>
        <w:t>/Т</w:t>
      </w:r>
      <w:r>
        <w:rPr>
          <w:rFonts w:ascii="Times New Roman"/>
          <w:b w:val="false"/>
          <w:i w:val="false"/>
          <w:color w:val="000000"/>
          <w:vertAlign w:val="subscript"/>
        </w:rPr>
        <w:t>д</w:t>
      </w:r>
      <w:r>
        <w:rPr>
          <w:rFonts w:ascii="Times New Roman"/>
          <w:b w:val="false"/>
          <w:i w:val="false"/>
          <w:color w:val="000000"/>
          <w:sz w:val="28"/>
        </w:rPr>
        <w:t>*Т</w:t>
      </w:r>
      <w:r>
        <w:rPr>
          <w:rFonts w:ascii="Times New Roman"/>
          <w:b w:val="false"/>
          <w:i w:val="false"/>
          <w:color w:val="000000"/>
          <w:vertAlign w:val="subscript"/>
        </w:rPr>
        <w:t>дк</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*Ц</w:t>
      </w:r>
      <w:r>
        <w:rPr>
          <w:rFonts w:ascii="Times New Roman"/>
          <w:b w:val="false"/>
          <w:i w:val="false"/>
          <w:color w:val="000000"/>
          <w:vertAlign w:val="subscript"/>
        </w:rPr>
        <w:t>2</w:t>
      </w:r>
      <w:r>
        <w:rPr>
          <w:rFonts w:ascii="Times New Roman"/>
          <w:b w:val="false"/>
          <w:i w:val="false"/>
          <w:color w:val="000000"/>
          <w:sz w:val="28"/>
        </w:rPr>
        <w:t>+…(Т</w:t>
      </w:r>
      <w:r>
        <w:rPr>
          <w:rFonts w:ascii="Times New Roman"/>
          <w:b w:val="false"/>
          <w:i w:val="false"/>
          <w:color w:val="000000"/>
          <w:vertAlign w:val="subscript"/>
        </w:rPr>
        <w:t>р</w:t>
      </w:r>
      <w:r>
        <w:rPr>
          <w:rFonts w:ascii="Times New Roman"/>
          <w:b w:val="false"/>
          <w:i w:val="false"/>
          <w:color w:val="000000"/>
          <w:sz w:val="28"/>
        </w:rPr>
        <w:t>/Т</w:t>
      </w:r>
      <w:r>
        <w:rPr>
          <w:rFonts w:ascii="Times New Roman"/>
          <w:b w:val="false"/>
          <w:i w:val="false"/>
          <w:color w:val="000000"/>
          <w:vertAlign w:val="subscript"/>
        </w:rPr>
        <w:t>д</w:t>
      </w:r>
      <w:r>
        <w:rPr>
          <w:rFonts w:ascii="Times New Roman"/>
          <w:b w:val="false"/>
          <w:i w:val="false"/>
          <w:color w:val="000000"/>
          <w:sz w:val="28"/>
        </w:rPr>
        <w:t>*Т</w:t>
      </w:r>
      <w:r>
        <w:rPr>
          <w:rFonts w:ascii="Times New Roman"/>
          <w:b w:val="false"/>
          <w:i w:val="false"/>
          <w:color w:val="000000"/>
          <w:vertAlign w:val="subscript"/>
        </w:rPr>
        <w:t>дк</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*Ц</w:t>
      </w:r>
      <w:r>
        <w:rPr>
          <w:rFonts w:ascii="Times New Roman"/>
          <w:b w:val="false"/>
          <w:i w:val="false"/>
          <w:color w:val="000000"/>
          <w:vertAlign w:val="subscript"/>
        </w:rPr>
        <w:t>n</w:t>
      </w:r>
      <w:r>
        <w:rPr>
          <w:rFonts w:ascii="Times New Roman"/>
          <w:b w:val="false"/>
          <w:i w:val="false"/>
          <w:color w:val="000000"/>
          <w:sz w:val="28"/>
        </w:rPr>
        <w:t>,</w:t>
      </w:r>
    </w:p>
    <w:bookmarkEnd w:id="116"/>
    <w:bookmarkStart w:name="z120" w:id="117"/>
    <w:p>
      <w:pPr>
        <w:spacing w:after="0"/>
        <w:ind w:left="0"/>
        <w:jc w:val="both"/>
      </w:pPr>
      <w:r>
        <w:rPr>
          <w:rFonts w:ascii="Times New Roman"/>
          <w:b w:val="false"/>
          <w:i w:val="false"/>
          <w:color w:val="000000"/>
          <w:sz w:val="28"/>
        </w:rPr>
        <w:t>
      где</w:t>
      </w:r>
    </w:p>
    <w:bookmarkEnd w:id="117"/>
    <w:bookmarkStart w:name="z121" w:id="11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w:t>
      </w:r>
      <w:r>
        <w:rPr>
          <w:rFonts w:ascii="Times New Roman"/>
          <w:b w:val="false"/>
          <w:i w:val="false"/>
          <w:color w:val="000000"/>
          <w:sz w:val="28"/>
        </w:rPr>
        <w:t xml:space="preserve"> – физический объем реализации готовой продукции по каждому  виду добытого минерального сырья, полезного ископаемого и металла всего по компании;</w:t>
      </w:r>
    </w:p>
    <w:bookmarkEnd w:id="118"/>
    <w:bookmarkStart w:name="z122" w:id="11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д</w:t>
      </w:r>
      <w:r>
        <w:rPr>
          <w:rFonts w:ascii="Times New Roman"/>
          <w:b w:val="false"/>
          <w:i w:val="false"/>
          <w:color w:val="000000"/>
          <w:sz w:val="28"/>
        </w:rPr>
        <w:t xml:space="preserve"> – суммарный физический объем извлекаемого полезного  и скопаемого, металла из добытого минерального сырья всего по компании или суммарный физический объем добытого минерального сырья в целом по компании – в случае добычи минерального сырья, не содержащего металлы, котирующиеся на Лондонской бирже металлов; </w:t>
      </w:r>
    </w:p>
    <w:bookmarkEnd w:id="119"/>
    <w:bookmarkStart w:name="z123" w:id="12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дк</w:t>
      </w:r>
      <w:r>
        <w:rPr>
          <w:rFonts w:ascii="Times New Roman"/>
          <w:b w:val="false"/>
          <w:i w:val="false"/>
          <w:color w:val="000000"/>
          <w:sz w:val="28"/>
        </w:rPr>
        <w:t xml:space="preserve"> - суммарный физический объем извлекаемого полезного   ископаемого, металла из добытого минерального сырья по отдельному месторождению (группе месторождений, части месторождения) или суммарный физический объем добытого минерального сырья по отдельному месторождению (группе месторождений, части месторождения) – в случае добычи минерального сырья, не содержащего металлы, котирующиеся на Лондонской бирже металлов; </w:t>
      </w:r>
    </w:p>
    <w:bookmarkEnd w:id="120"/>
    <w:bookmarkStart w:name="z124" w:id="121"/>
    <w:p>
      <w:pPr>
        <w:spacing w:after="0"/>
        <w:ind w:left="0"/>
        <w:jc w:val="both"/>
      </w:pPr>
      <w:r>
        <w:rPr>
          <w:rFonts w:ascii="Times New Roman"/>
          <w:b w:val="false"/>
          <w:i w:val="false"/>
          <w:color w:val="000000"/>
          <w:sz w:val="28"/>
        </w:rPr>
        <w:t>
      Ц – цена реализации готовой продукции, металла, исходя из котировок цен, зафиксированных на Лондонской бирже металлов или Лондонской бирже драгоценных металлов.</w:t>
      </w:r>
    </w:p>
    <w:bookmarkEnd w:id="121"/>
    <w:bookmarkStart w:name="z125" w:id="122"/>
    <w:p>
      <w:pPr>
        <w:spacing w:after="0"/>
        <w:ind w:left="0"/>
        <w:jc w:val="both"/>
      </w:pPr>
      <w:r>
        <w:rPr>
          <w:rFonts w:ascii="Times New Roman"/>
          <w:b w:val="false"/>
          <w:i w:val="false"/>
          <w:color w:val="000000"/>
          <w:sz w:val="28"/>
        </w:rPr>
        <w:t>
      В случае, если на готовую продукцию и (или) металл отсутствуют котировки на Лондонской бирже металлов, применяется цена реализации.</w:t>
      </w:r>
    </w:p>
    <w:bookmarkEnd w:id="122"/>
    <w:bookmarkStart w:name="z141" w:id="123"/>
    <w:p>
      <w:pPr>
        <w:spacing w:after="0"/>
        <w:ind w:left="0"/>
        <w:jc w:val="both"/>
      </w:pPr>
      <w:r>
        <w:rPr>
          <w:rFonts w:ascii="Times New Roman"/>
          <w:b w:val="false"/>
          <w:i w:val="false"/>
          <w:color w:val="000000"/>
          <w:sz w:val="28"/>
        </w:rPr>
        <w:t>
      Коэффициент доли контрактной деятельности определяется по следующей  формуле:</w:t>
      </w:r>
    </w:p>
    <w:bookmarkEnd w:id="123"/>
    <w:bookmarkStart w:name="z126" w:id="12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к.д</w:t>
      </w:r>
      <w:r>
        <w:rPr>
          <w:rFonts w:ascii="Times New Roman"/>
          <w:b w:val="false"/>
          <w:i w:val="false"/>
          <w:color w:val="000000"/>
          <w:vertAlign w:val="subscript"/>
        </w:rPr>
        <w:t xml:space="preserve">. </w:t>
      </w:r>
      <w:r>
        <w:rPr>
          <w:rFonts w:ascii="Times New Roman"/>
          <w:b w:val="false"/>
          <w:i w:val="false"/>
          <w:color w:val="000000"/>
          <w:sz w:val="28"/>
        </w:rPr>
        <w:t>= ПС</w:t>
      </w:r>
      <w:r>
        <w:rPr>
          <w:rFonts w:ascii="Times New Roman"/>
          <w:b w:val="false"/>
          <w:i w:val="false"/>
          <w:color w:val="000000"/>
          <w:vertAlign w:val="subscript"/>
        </w:rPr>
        <w:t>м</w:t>
      </w:r>
      <w:r>
        <w:rPr>
          <w:rFonts w:ascii="Times New Roman"/>
          <w:b w:val="false"/>
          <w:i w:val="false"/>
          <w:color w:val="000000"/>
          <w:sz w:val="28"/>
        </w:rPr>
        <w:t xml:space="preserve"> / ПС</w:t>
      </w:r>
      <w:r>
        <w:rPr>
          <w:rFonts w:ascii="Times New Roman"/>
          <w:b w:val="false"/>
          <w:i w:val="false"/>
          <w:color w:val="000000"/>
          <w:vertAlign w:val="subscript"/>
        </w:rPr>
        <w:t>г.п</w:t>
      </w:r>
      <w:r>
        <w:rPr>
          <w:rFonts w:ascii="Times New Roman"/>
          <w:b w:val="false"/>
          <w:i w:val="false"/>
          <w:color w:val="000000"/>
          <w:vertAlign w:val="subscript"/>
        </w:rPr>
        <w:t>.</w:t>
      </w:r>
      <w:r>
        <w:rPr>
          <w:rFonts w:ascii="Times New Roman"/>
          <w:b w:val="false"/>
          <w:i w:val="false"/>
          <w:color w:val="000000"/>
          <w:sz w:val="28"/>
        </w:rPr>
        <w:t>,</w:t>
      </w:r>
    </w:p>
    <w:bookmarkEnd w:id="124"/>
    <w:bookmarkStart w:name="z127" w:id="125"/>
    <w:p>
      <w:pPr>
        <w:spacing w:after="0"/>
        <w:ind w:left="0"/>
        <w:jc w:val="both"/>
      </w:pPr>
      <w:r>
        <w:rPr>
          <w:rFonts w:ascii="Times New Roman"/>
          <w:b w:val="false"/>
          <w:i w:val="false"/>
          <w:color w:val="000000"/>
          <w:sz w:val="28"/>
        </w:rPr>
        <w:t xml:space="preserve">
      где: </w:t>
      </w:r>
    </w:p>
    <w:bookmarkEnd w:id="125"/>
    <w:bookmarkStart w:name="z128" w:id="126"/>
    <w:p>
      <w:pPr>
        <w:spacing w:after="0"/>
        <w:ind w:left="0"/>
        <w:jc w:val="both"/>
      </w:pPr>
      <w:r>
        <w:rPr>
          <w:rFonts w:ascii="Times New Roman"/>
          <w:b w:val="false"/>
          <w:i w:val="false"/>
          <w:color w:val="000000"/>
          <w:sz w:val="28"/>
        </w:rPr>
        <w:t>
      ПС</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полная себестоимость добытого минерального сырья по месторождению (группе месторождений, части месторождения);</w:t>
      </w:r>
    </w:p>
    <w:bookmarkEnd w:id="126"/>
    <w:bookmarkStart w:name="z129" w:id="127"/>
    <w:p>
      <w:pPr>
        <w:spacing w:after="0"/>
        <w:ind w:left="0"/>
        <w:jc w:val="both"/>
      </w:pPr>
      <w:r>
        <w:rPr>
          <w:rFonts w:ascii="Times New Roman"/>
          <w:b w:val="false"/>
          <w:i w:val="false"/>
          <w:color w:val="000000"/>
          <w:sz w:val="28"/>
        </w:rPr>
        <w:t>
      ПС</w:t>
      </w:r>
      <w:r>
        <w:rPr>
          <w:rFonts w:ascii="Times New Roman"/>
          <w:b w:val="false"/>
          <w:i w:val="false"/>
          <w:color w:val="000000"/>
          <w:vertAlign w:val="subscript"/>
        </w:rPr>
        <w:t>г.п</w:t>
      </w:r>
      <w:r>
        <w:rPr>
          <w:rFonts w:ascii="Times New Roman"/>
          <w:b w:val="false"/>
          <w:i w:val="false"/>
          <w:color w:val="000000"/>
          <w:vertAlign w:val="subscript"/>
        </w:rPr>
        <w:t xml:space="preserve">. </w:t>
      </w:r>
      <w:r>
        <w:rPr>
          <w:rFonts w:ascii="Times New Roman"/>
          <w:b w:val="false"/>
          <w:i w:val="false"/>
          <w:color w:val="000000"/>
          <w:sz w:val="28"/>
        </w:rPr>
        <w:t>– полная себестоимость готовой продукции.</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постановлением Правительства РК от 27.07.2016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28"/>
    <w:p>
      <w:pPr>
        <w:spacing w:after="0"/>
        <w:ind w:left="0"/>
        <w:jc w:val="both"/>
      </w:pPr>
      <w:r>
        <w:rPr>
          <w:rFonts w:ascii="Times New Roman"/>
          <w:b w:val="false"/>
          <w:i w:val="false"/>
          <w:color w:val="000000"/>
          <w:sz w:val="28"/>
        </w:rPr>
        <w:t xml:space="preserve">
       18. Ставки НДПИ для месторождения (группы месторождений, части месторождения), отнесенного к категории низкорентабельных, снижаются до величины, позволяющей приблизить рентабельность месторождения (группы месторождений, части месторождения) к нулевому уровню, но не ниже минимальной ставки НДПИ, установленной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за исключением случаев, предусмотренных </w:t>
      </w:r>
      <w:r>
        <w:rPr>
          <w:rFonts w:ascii="Times New Roman"/>
          <w:b w:val="false"/>
          <w:i w:val="false"/>
          <w:color w:val="000000"/>
          <w:sz w:val="28"/>
        </w:rPr>
        <w:t>пунктом 19-1</w:t>
      </w:r>
      <w:r>
        <w:rPr>
          <w:rFonts w:ascii="Times New Roman"/>
          <w:b w:val="false"/>
          <w:i w:val="false"/>
          <w:color w:val="000000"/>
          <w:sz w:val="28"/>
        </w:rPr>
        <w:t xml:space="preserve"> настоящих Правил.</w:t>
      </w:r>
    </w:p>
    <w:bookmarkEnd w:id="128"/>
    <w:p>
      <w:pPr>
        <w:spacing w:after="0"/>
        <w:ind w:left="0"/>
        <w:jc w:val="both"/>
      </w:pPr>
      <w:r>
        <w:rPr>
          <w:rFonts w:ascii="Times New Roman"/>
          <w:b w:val="false"/>
          <w:i w:val="false"/>
          <w:color w:val="000000"/>
          <w:sz w:val="28"/>
        </w:rPr>
        <w:t>
      При этом размер ставки НДПИ, рассчитанный в соответствии с настоящими Правилами, устанавливается с точностью до двух знаков после запятой с округлением к большему с шагом в ноль целых одну сотую (0,01).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05.08.2014 </w:t>
      </w:r>
      <w:r>
        <w:rPr>
          <w:rFonts w:ascii="Times New Roman"/>
          <w:b w:val="false"/>
          <w:i w:val="false"/>
          <w:color w:val="000000"/>
          <w:sz w:val="28"/>
        </w:rPr>
        <w:t>№ 892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1" w:id="129"/>
    <w:p>
      <w:pPr>
        <w:spacing w:after="0"/>
        <w:ind w:left="0"/>
        <w:jc w:val="both"/>
      </w:pPr>
      <w:r>
        <w:rPr>
          <w:rFonts w:ascii="Times New Roman"/>
          <w:b w:val="false"/>
          <w:i w:val="false"/>
          <w:color w:val="000000"/>
          <w:sz w:val="28"/>
        </w:rPr>
        <w:t xml:space="preserve">
       19. Минимальная ставка НДПИ, за исключением случаев, указанных в </w:t>
      </w:r>
      <w:r>
        <w:rPr>
          <w:rFonts w:ascii="Times New Roman"/>
          <w:b w:val="false"/>
          <w:i w:val="false"/>
          <w:color w:val="000000"/>
          <w:sz w:val="28"/>
        </w:rPr>
        <w:t>пункте 19-1</w:t>
      </w:r>
      <w:r>
        <w:rPr>
          <w:rFonts w:ascii="Times New Roman"/>
          <w:b w:val="false"/>
          <w:i w:val="false"/>
          <w:color w:val="000000"/>
          <w:sz w:val="28"/>
        </w:rPr>
        <w:t xml:space="preserve"> настоящих Правил, должна быть установлена в размере, который обеспечивает уплату в бюджет недропользователем суммы НДПИ, равной в абсолютном значении сумме роялти, исчисленному по ставке и налогооблагаемой базе, установленной условиями контракта на недропользование в редакции, действовавшей по состоянию на 31 декабря 2008 года, исходя из объема плановой добычи и по ценам текущего календарного года, на который устанавливается индивидуальная ставка НДПИ.</w:t>
      </w:r>
    </w:p>
    <w:bookmarkEnd w:id="129"/>
    <w:bookmarkStart w:name="z133" w:id="130"/>
    <w:p>
      <w:pPr>
        <w:spacing w:after="0"/>
        <w:ind w:left="0"/>
        <w:jc w:val="both"/>
      </w:pPr>
      <w:r>
        <w:rPr>
          <w:rFonts w:ascii="Times New Roman"/>
          <w:b w:val="false"/>
          <w:i w:val="false"/>
          <w:color w:val="000000"/>
          <w:sz w:val="28"/>
        </w:rPr>
        <w:t xml:space="preserve">
      В случае, если условиями контракта на недропользование ставки роялти по состоянию на 31 декабря 2008 года не были установлены, то применяются ставки роялти на соответствующее полезное ископаемое согласно </w:t>
      </w:r>
      <w:r>
        <w:rPr>
          <w:rFonts w:ascii="Times New Roman"/>
          <w:b w:val="false"/>
          <w:i w:val="false"/>
          <w:color w:val="000000"/>
          <w:sz w:val="28"/>
        </w:rPr>
        <w:t>Налоговому кодексу</w:t>
      </w:r>
      <w:r>
        <w:rPr>
          <w:rFonts w:ascii="Times New Roman"/>
          <w:b w:val="false"/>
          <w:i w:val="false"/>
          <w:color w:val="000000"/>
          <w:sz w:val="28"/>
        </w:rPr>
        <w:t xml:space="preserve"> в редакции, действовавшей на 31 декабря 2008 года, за исключением случаев, предусмотренных в </w:t>
      </w:r>
      <w:r>
        <w:rPr>
          <w:rFonts w:ascii="Times New Roman"/>
          <w:b w:val="false"/>
          <w:i w:val="false"/>
          <w:color w:val="000000"/>
          <w:sz w:val="28"/>
        </w:rPr>
        <w:t>пункте 19-1</w:t>
      </w:r>
      <w:r>
        <w:rPr>
          <w:rFonts w:ascii="Times New Roman"/>
          <w:b w:val="false"/>
          <w:i w:val="false"/>
          <w:color w:val="000000"/>
          <w:sz w:val="28"/>
        </w:rPr>
        <w:t xml:space="preserve"> настоящих Правил.</w:t>
      </w:r>
    </w:p>
    <w:bookmarkEnd w:id="130"/>
    <w:bookmarkStart w:name="z134" w:id="131"/>
    <w:p>
      <w:pPr>
        <w:spacing w:after="0"/>
        <w:ind w:left="0"/>
        <w:jc w:val="both"/>
      </w:pPr>
      <w:r>
        <w:rPr>
          <w:rFonts w:ascii="Times New Roman"/>
          <w:b w:val="false"/>
          <w:i w:val="false"/>
          <w:color w:val="000000"/>
          <w:sz w:val="28"/>
        </w:rPr>
        <w:t>
      Расчет минимальной ставки НДПИ осуществляется в следующем порядке:</w:t>
      </w:r>
    </w:p>
    <w:bookmarkEnd w:id="131"/>
    <w:p>
      <w:pPr>
        <w:spacing w:after="0"/>
        <w:ind w:left="0"/>
        <w:jc w:val="both"/>
      </w:pPr>
      <w:r>
        <w:rPr>
          <w:rFonts w:ascii="Times New Roman"/>
          <w:b w:val="false"/>
          <w:i w:val="false"/>
          <w:color w:val="000000"/>
          <w:sz w:val="28"/>
        </w:rPr>
        <w:t>
      1) исходя из планируемого объема добычи на соответствующий календарный год определяется сумма роялти, которая бы подлежала уплате недропользователем в бюджет в соответствующем календарном году, согласно условиям контракта на недропользование (объект обложения, ставка роялти, налогооблагаемая база на соответствующий календарный год), действовавшего по состоянию на 31 декабря 2008 года;</w:t>
      </w:r>
    </w:p>
    <w:p>
      <w:pPr>
        <w:spacing w:after="0"/>
        <w:ind w:left="0"/>
        <w:jc w:val="both"/>
      </w:pPr>
      <w:r>
        <w:rPr>
          <w:rFonts w:ascii="Times New Roman"/>
          <w:b w:val="false"/>
          <w:i w:val="false"/>
          <w:color w:val="000000"/>
          <w:sz w:val="28"/>
        </w:rPr>
        <w:t xml:space="preserve">
      2) исчисленная в соответствии с подпунктом 1) настоящего пункта сумма роялти составляет в абсолютном значении сумму НДПИ, подлежащую уплате недропользователем в бюджет, если рентабельность по месторождению (группе месторождений, части месторождения), исчисленная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 менее 0%;</w:t>
      </w:r>
    </w:p>
    <w:p>
      <w:pPr>
        <w:spacing w:after="0"/>
        <w:ind w:left="0"/>
        <w:jc w:val="both"/>
      </w:pPr>
      <w:r>
        <w:rPr>
          <w:rFonts w:ascii="Times New Roman"/>
          <w:b w:val="false"/>
          <w:i w:val="false"/>
          <w:color w:val="000000"/>
          <w:sz w:val="28"/>
        </w:rPr>
        <w:t>
      3) минимальная ставка НДПИ, устанавливаемая для недропользователя по месторождению (группе месторождений, части месторождения), отнесенному к категории низкорентабельных, определяется как отношение суммы НДПИ, исчисленной в соответствии с подпунктом 1) настоящего пункта к налогооблагаемой базе по НДПИ по соответствующему виду полезного ископаемого (соответствующим видам полезных ископаемых), исчисленной в порядке, установленном Налоговому кодексу.</w:t>
      </w:r>
    </w:p>
    <w:bookmarkStart w:name="z135" w:id="132"/>
    <w:p>
      <w:pPr>
        <w:spacing w:after="0"/>
        <w:ind w:left="0"/>
        <w:jc w:val="both"/>
      </w:pPr>
      <w:r>
        <w:rPr>
          <w:rFonts w:ascii="Times New Roman"/>
          <w:b w:val="false"/>
          <w:i w:val="false"/>
          <w:color w:val="000000"/>
          <w:sz w:val="28"/>
        </w:rPr>
        <w:t>
      В случае, если ставки НДПИ для месторождения (группы месторождений, части месторождения), отнесенного к категории низкорентабельных, на соответствующий календарный год устанавливаются в течение указанного года, то НДПИ, исчисленный и уплаченный с начала календарного года, пересчитывается по ставкам, установленным в соответствии с настоящими Правилами, исходя из фактически сложившихся цен за истекшие налоговые периоды.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05.08.2014 года </w:t>
      </w:r>
      <w:r>
        <w:rPr>
          <w:rFonts w:ascii="Times New Roman"/>
          <w:b w:val="false"/>
          <w:i w:val="false"/>
          <w:color w:val="000000"/>
          <w:sz w:val="28"/>
        </w:rPr>
        <w:t>№ 892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2" w:id="133"/>
    <w:p>
      <w:pPr>
        <w:spacing w:after="0"/>
        <w:ind w:left="0"/>
        <w:jc w:val="both"/>
      </w:pPr>
      <w:r>
        <w:rPr>
          <w:rFonts w:ascii="Times New Roman"/>
          <w:b w:val="false"/>
          <w:i w:val="false"/>
          <w:color w:val="000000"/>
          <w:sz w:val="28"/>
        </w:rPr>
        <w:t xml:space="preserve">
       19-1. В случае, если при минимальной ставке НДПИ, определенной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не достигается нулевая рентабельность месторождения (группы месторождений, части месторождения), то минимальная ставка НДПИ, в том числе по попутным полезным ископаемым, снижается до величины (до 0% включительно), позволяющей приблизить рентабельность месторождения (группы месторождений, части месторождения) к нулевому уровню при одновременном соблюдении следующих условий:</w:t>
      </w:r>
    </w:p>
    <w:bookmarkEnd w:id="133"/>
    <w:p>
      <w:pPr>
        <w:spacing w:after="0"/>
        <w:ind w:left="0"/>
        <w:jc w:val="both"/>
      </w:pPr>
      <w:r>
        <w:rPr>
          <w:rFonts w:ascii="Times New Roman"/>
          <w:b w:val="false"/>
          <w:i w:val="false"/>
          <w:color w:val="000000"/>
          <w:sz w:val="28"/>
        </w:rPr>
        <w:t xml:space="preserve">
      1) месторождение (группа месторождений, часть месторождения) может быть классифицировано как однокомпонентное или многокомпонентное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при реализации готовой продукции, полученной в результате переработки минерального сырья, возникают убытки, определяемые как разница между ценой реализации и полной себестоимостью готовой продукции. В целях настоящего пункта в полную себестоимость готовой продукции включаются себестоимость реализованной готовой продукции, расходы по реализации и общие и административные расходы. Себестоимость реализованной готовой продукции определяется в соответствии с международными стандартами финансовой отчетности и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бухгалтерском учете и финансовой отчетности. В целях определения суммы убытка из себестоимости реализованной готовой продукции подлежат исключению статьи расходов, возникающие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подлежащих выплате (выплаченных).</w:t>
      </w:r>
    </w:p>
    <w:bookmarkStart w:name="z136" w:id="134"/>
    <w:p>
      <w:pPr>
        <w:spacing w:after="0"/>
        <w:ind w:left="0"/>
        <w:jc w:val="both"/>
      </w:pPr>
      <w:r>
        <w:rPr>
          <w:rFonts w:ascii="Times New Roman"/>
          <w:b w:val="false"/>
          <w:i w:val="false"/>
          <w:color w:val="000000"/>
          <w:sz w:val="28"/>
        </w:rPr>
        <w:t xml:space="preserve">
      В случае, если условиями контракта на недропользование, заключенного до 1 января 2009 года, ставки роялти на попутные полезные ископаемые не были установлены по состоянию на 31 декабря 2008 года, то в отношении таких полезных ископаемых минимальная ставка НДПИ, определенная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устанавливается в размере 0% при условии, если деятельность недропользователя в целом является убыточной.</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постановлением Правительства РК от 05.08.2014 </w:t>
      </w:r>
      <w:r>
        <w:rPr>
          <w:rFonts w:ascii="Times New Roman"/>
          <w:b w:val="false"/>
          <w:i w:val="false"/>
          <w:color w:val="000000"/>
          <w:sz w:val="28"/>
        </w:rPr>
        <w:t>№ 892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xml:space="preserve">
       20. Налогоплательщик, применявший ставку налога на добычу полезного ископаемого, установленную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в срок не позднее 15-го числа 2-го месяца, следующего за 4-м кварталом соответствующего налогового года, производит расчет показателей рентабельности на основании фактических данных с применением соответствующей ставки, установленной </w:t>
      </w:r>
      <w:r>
        <w:rPr>
          <w:rFonts w:ascii="Times New Roman"/>
          <w:b w:val="false"/>
          <w:i w:val="false"/>
          <w:color w:val="000000"/>
          <w:sz w:val="28"/>
        </w:rPr>
        <w:t>главой 45</w:t>
      </w:r>
      <w:r>
        <w:rPr>
          <w:rFonts w:ascii="Times New Roman"/>
          <w:b w:val="false"/>
          <w:i w:val="false"/>
          <w:color w:val="000000"/>
          <w:sz w:val="28"/>
        </w:rPr>
        <w:t xml:space="preserve"> Налогового кодекса для соответствующего вида полезного ископаемого.</w:t>
      </w:r>
    </w:p>
    <w:bookmarkEnd w:id="135"/>
    <w:bookmarkStart w:name="z138" w:id="136"/>
    <w:p>
      <w:pPr>
        <w:spacing w:after="0"/>
        <w:ind w:left="0"/>
        <w:jc w:val="both"/>
      </w:pPr>
      <w:r>
        <w:rPr>
          <w:rFonts w:ascii="Times New Roman"/>
          <w:b w:val="false"/>
          <w:i w:val="false"/>
          <w:color w:val="000000"/>
          <w:sz w:val="28"/>
        </w:rPr>
        <w:t xml:space="preserve">
      В случае, если по результатам произведенного расчета по контракту будут превышены значения рентабельности, установленные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налогоплательщик производит перерасчет налоговых обязательств по налогу на добычу полезных ископаемых на основании общеустановленных ставок за весь налоговый год и отражает полученные значения в дополнительной декларации по налогу на добычу полезных ископаемых. Сумма налога на добычу полезных ископаемых, отраженная в данной декларации, является налоговым обязательством 4-го квартала налогового года и подлежит уплате в общеустановленном порядке в бюджет без применения штрафов и пени.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05.08.2014 </w:t>
      </w:r>
      <w:r>
        <w:rPr>
          <w:rFonts w:ascii="Times New Roman"/>
          <w:b w:val="false"/>
          <w:i w:val="false"/>
          <w:color w:val="000000"/>
          <w:sz w:val="28"/>
        </w:rPr>
        <w:t>№ 892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Правилам отнесения месторождения</w:t>
            </w:r>
            <w:r>
              <w:br/>
            </w:r>
            <w:r>
              <w:rPr>
                <w:rFonts w:ascii="Times New Roman"/>
                <w:b w:val="false"/>
                <w:i w:val="false"/>
                <w:color w:val="000000"/>
                <w:sz w:val="20"/>
              </w:rPr>
              <w:t>(группы месторождений, части месторождения)</w:t>
            </w:r>
            <w:r>
              <w:br/>
            </w:r>
            <w:r>
              <w:rPr>
                <w:rFonts w:ascii="Times New Roman"/>
                <w:b w:val="false"/>
                <w:i w:val="false"/>
                <w:color w:val="000000"/>
                <w:sz w:val="20"/>
              </w:rPr>
              <w:t>твердых видов полезных ископаемых,</w:t>
            </w:r>
            <w:r>
              <w:br/>
            </w:r>
            <w:r>
              <w:rPr>
                <w:rFonts w:ascii="Times New Roman"/>
                <w:b w:val="false"/>
                <w:i w:val="false"/>
                <w:color w:val="000000"/>
                <w:sz w:val="20"/>
              </w:rPr>
              <w:t>за исключением общераспространенных,</w:t>
            </w:r>
            <w:r>
              <w:br/>
            </w:r>
            <w:r>
              <w:rPr>
                <w:rFonts w:ascii="Times New Roman"/>
                <w:b w:val="false"/>
                <w:i w:val="false"/>
                <w:color w:val="000000"/>
                <w:sz w:val="20"/>
              </w:rPr>
              <w:t>к категории низкорентабельных и</w:t>
            </w:r>
            <w:r>
              <w:br/>
            </w:r>
            <w:r>
              <w:rPr>
                <w:rFonts w:ascii="Times New Roman"/>
                <w:b w:val="false"/>
                <w:i w:val="false"/>
                <w:color w:val="000000"/>
                <w:sz w:val="20"/>
              </w:rPr>
              <w:t>налогообложения в части налога</w:t>
            </w:r>
            <w:r>
              <w:br/>
            </w:r>
            <w:r>
              <w:rPr>
                <w:rFonts w:ascii="Times New Roman"/>
                <w:b w:val="false"/>
                <w:i w:val="false"/>
                <w:color w:val="000000"/>
                <w:sz w:val="20"/>
              </w:rPr>
              <w:t>на добычу полезных ископаемых</w:t>
            </w:r>
          </w:p>
        </w:tc>
      </w:tr>
    </w:tbl>
    <w:bookmarkStart w:name="z140" w:id="137"/>
    <w:p>
      <w:pPr>
        <w:spacing w:after="0"/>
        <w:ind w:left="0"/>
        <w:jc w:val="left"/>
      </w:pPr>
      <w:r>
        <w:rPr>
          <w:rFonts w:ascii="Times New Roman"/>
          <w:b/>
          <w:i w:val="false"/>
          <w:color w:val="000000"/>
        </w:rPr>
        <w:t xml:space="preserve"> ЗАЯВЛЕНИЕ</w:t>
      </w:r>
      <w:r>
        <w:br/>
      </w:r>
      <w:r>
        <w:rPr>
          <w:rFonts w:ascii="Times New Roman"/>
          <w:b/>
          <w:i w:val="false"/>
          <w:color w:val="000000"/>
        </w:rPr>
        <w:t>об отнесении месторождения (группы месторождений, части</w:t>
      </w:r>
      <w:r>
        <w:br/>
      </w:r>
      <w:r>
        <w:rPr>
          <w:rFonts w:ascii="Times New Roman"/>
          <w:b/>
          <w:i w:val="false"/>
          <w:color w:val="000000"/>
        </w:rPr>
        <w:t>месторождения) твердых видов полезных ископаемых, за</w:t>
      </w:r>
      <w:r>
        <w:br/>
      </w:r>
      <w:r>
        <w:rPr>
          <w:rFonts w:ascii="Times New Roman"/>
          <w:b/>
          <w:i w:val="false"/>
          <w:color w:val="000000"/>
        </w:rPr>
        <w:t>исключением общераспространенных, к категории низкорентабельных</w:t>
      </w:r>
    </w:p>
    <w:bookmarkEnd w:id="137"/>
    <w:p>
      <w:pPr>
        <w:spacing w:after="0"/>
        <w:ind w:left="0"/>
        <w:jc w:val="both"/>
      </w:pPr>
      <w:r>
        <w:rPr>
          <w:rFonts w:ascii="Times New Roman"/>
          <w:b w:val="false"/>
          <w:i w:val="false"/>
          <w:color w:val="000000"/>
          <w:sz w:val="28"/>
        </w:rPr>
        <w:t>
      1. Полное наименование недропользователя (юридического лица)</w:t>
      </w:r>
    </w:p>
    <w:p>
      <w:pPr>
        <w:spacing w:after="0"/>
        <w:ind w:left="0"/>
        <w:jc w:val="both"/>
      </w:pPr>
      <w:r>
        <w:rPr>
          <w:rFonts w:ascii="Times New Roman"/>
          <w:b w:val="false"/>
          <w:i w:val="false"/>
          <w:color w:val="000000"/>
          <w:sz w:val="28"/>
        </w:rPr>
        <w:t>
      либо Ф.И.О. (физического лица): ___________________________________________________________.</w:t>
      </w:r>
    </w:p>
    <w:p>
      <w:pPr>
        <w:spacing w:after="0"/>
        <w:ind w:left="0"/>
        <w:jc w:val="both"/>
      </w:pPr>
      <w:r>
        <w:rPr>
          <w:rFonts w:ascii="Times New Roman"/>
          <w:b w:val="false"/>
          <w:i w:val="false"/>
          <w:color w:val="000000"/>
          <w:sz w:val="28"/>
        </w:rPr>
        <w:t>
      2. Местонахождение (почтовый адрес): ______________________.</w:t>
      </w:r>
    </w:p>
    <w:p>
      <w:pPr>
        <w:spacing w:after="0"/>
        <w:ind w:left="0"/>
        <w:jc w:val="both"/>
      </w:pPr>
      <w:r>
        <w:rPr>
          <w:rFonts w:ascii="Times New Roman"/>
          <w:b w:val="false"/>
          <w:i w:val="false"/>
          <w:color w:val="000000"/>
          <w:sz w:val="28"/>
        </w:rPr>
        <w:t>
      3. Регистрационный номер налогоплательщика ________________.</w:t>
      </w:r>
    </w:p>
    <w:p>
      <w:pPr>
        <w:spacing w:after="0"/>
        <w:ind w:left="0"/>
        <w:jc w:val="both"/>
      </w:pPr>
      <w:r>
        <w:rPr>
          <w:rFonts w:ascii="Times New Roman"/>
          <w:b w:val="false"/>
          <w:i w:val="false"/>
          <w:color w:val="000000"/>
          <w:sz w:val="28"/>
        </w:rPr>
        <w:t>
      4. Контракт на недропользование, в рамках которого</w:t>
      </w:r>
    </w:p>
    <w:p>
      <w:pPr>
        <w:spacing w:after="0"/>
        <w:ind w:left="0"/>
        <w:jc w:val="both"/>
      </w:pPr>
      <w:r>
        <w:rPr>
          <w:rFonts w:ascii="Times New Roman"/>
          <w:b w:val="false"/>
          <w:i w:val="false"/>
          <w:color w:val="000000"/>
          <w:sz w:val="28"/>
        </w:rPr>
        <w:t>
      осуществляется добыча полезных ископаемых и предполагается применение</w:t>
      </w:r>
    </w:p>
    <w:p>
      <w:pPr>
        <w:spacing w:after="0"/>
        <w:ind w:left="0"/>
        <w:jc w:val="both"/>
      </w:pPr>
      <w:r>
        <w:rPr>
          <w:rFonts w:ascii="Times New Roman"/>
          <w:b w:val="false"/>
          <w:i w:val="false"/>
          <w:color w:val="000000"/>
          <w:sz w:val="28"/>
        </w:rPr>
        <w:t>
      порядка отнесения контракта на недропользование, месторождения</w:t>
      </w:r>
    </w:p>
    <w:p>
      <w:pPr>
        <w:spacing w:after="0"/>
        <w:ind w:left="0"/>
        <w:jc w:val="both"/>
      </w:pPr>
      <w:r>
        <w:rPr>
          <w:rFonts w:ascii="Times New Roman"/>
          <w:b w:val="false"/>
          <w:i w:val="false"/>
          <w:color w:val="000000"/>
          <w:sz w:val="28"/>
        </w:rPr>
        <w:t>
      (группы месторождений, части месторождения), предусматривающего</w:t>
      </w:r>
    </w:p>
    <w:p>
      <w:pPr>
        <w:spacing w:after="0"/>
        <w:ind w:left="0"/>
        <w:jc w:val="both"/>
      </w:pPr>
      <w:r>
        <w:rPr>
          <w:rFonts w:ascii="Times New Roman"/>
          <w:b w:val="false"/>
          <w:i w:val="false"/>
          <w:color w:val="000000"/>
          <w:sz w:val="28"/>
        </w:rPr>
        <w:t>
      разработку месторождения твердых видов полезных ископаемых, за</w:t>
      </w:r>
    </w:p>
    <w:p>
      <w:pPr>
        <w:spacing w:after="0"/>
        <w:ind w:left="0"/>
        <w:jc w:val="both"/>
      </w:pPr>
      <w:r>
        <w:rPr>
          <w:rFonts w:ascii="Times New Roman"/>
          <w:b w:val="false"/>
          <w:i w:val="false"/>
          <w:color w:val="000000"/>
          <w:sz w:val="28"/>
        </w:rPr>
        <w:t>
      исключением общераспространенных, к категории низкорентабельных:</w:t>
      </w:r>
    </w:p>
    <w:p>
      <w:pPr>
        <w:spacing w:after="0"/>
        <w:ind w:left="0"/>
        <w:jc w:val="both"/>
      </w:pPr>
      <w:r>
        <w:rPr>
          <w:rFonts w:ascii="Times New Roman"/>
          <w:b w:val="false"/>
          <w:i w:val="false"/>
          <w:color w:val="000000"/>
          <w:sz w:val="28"/>
        </w:rPr>
        <w:t xml:space="preserve">
      4.1. Полное наименование контракта, стороны контракта, дата </w:t>
      </w:r>
    </w:p>
    <w:p>
      <w:pPr>
        <w:spacing w:after="0"/>
        <w:ind w:left="0"/>
        <w:jc w:val="both"/>
      </w:pPr>
      <w:r>
        <w:rPr>
          <w:rFonts w:ascii="Times New Roman"/>
          <w:b w:val="false"/>
          <w:i w:val="false"/>
          <w:color w:val="000000"/>
          <w:sz w:val="28"/>
        </w:rPr>
        <w:t>
      заключения контракта: ____________________________________________________________;</w:t>
      </w:r>
    </w:p>
    <w:p>
      <w:pPr>
        <w:spacing w:after="0"/>
        <w:ind w:left="0"/>
        <w:jc w:val="both"/>
      </w:pPr>
      <w:r>
        <w:rPr>
          <w:rFonts w:ascii="Times New Roman"/>
          <w:b w:val="false"/>
          <w:i w:val="false"/>
          <w:color w:val="000000"/>
          <w:sz w:val="28"/>
        </w:rPr>
        <w:t>
      4.2. Дата и номер регистрации контракта в компетентном органе: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4.3. Наименование контракта (месторождения):_____________;</w:t>
      </w:r>
    </w:p>
    <w:p>
      <w:pPr>
        <w:spacing w:after="0"/>
        <w:ind w:left="0"/>
        <w:jc w:val="both"/>
      </w:pPr>
      <w:r>
        <w:rPr>
          <w:rFonts w:ascii="Times New Roman"/>
          <w:b w:val="false"/>
          <w:i w:val="false"/>
          <w:color w:val="000000"/>
          <w:sz w:val="28"/>
        </w:rPr>
        <w:t>
      4.4. Расположение контрактной территории (месторождения)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4.5. Вид добываемого полезного ископаемого _______________;</w:t>
      </w:r>
    </w:p>
    <w:p>
      <w:pPr>
        <w:spacing w:after="0"/>
        <w:ind w:left="0"/>
        <w:jc w:val="both"/>
      </w:pPr>
      <w:r>
        <w:rPr>
          <w:rFonts w:ascii="Times New Roman"/>
          <w:b w:val="false"/>
          <w:i w:val="false"/>
          <w:color w:val="000000"/>
          <w:sz w:val="28"/>
        </w:rPr>
        <w:t>
      5. Основание для подачи заявления _______________________;</w:t>
      </w:r>
    </w:p>
    <w:p>
      <w:pPr>
        <w:spacing w:after="0"/>
        <w:ind w:left="0"/>
        <w:jc w:val="both"/>
      </w:pPr>
      <w:r>
        <w:rPr>
          <w:rFonts w:ascii="Times New Roman"/>
          <w:b w:val="false"/>
          <w:i w:val="false"/>
          <w:color w:val="000000"/>
          <w:sz w:val="28"/>
        </w:rPr>
        <w:t>
      6. Контактное лицо (Ф.И.О, должность, телефон): 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Приложения:</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Ф.И.О. руководителя, должность _______________________________                                                   МП</w:t>
      </w:r>
    </w:p>
    <w:p>
      <w:pPr>
        <w:spacing w:after="0"/>
        <w:ind w:left="0"/>
        <w:jc w:val="both"/>
      </w:pPr>
      <w:r>
        <w:rPr>
          <w:rFonts w:ascii="Times New Roman"/>
          <w:b w:val="false"/>
          <w:i w:val="false"/>
          <w:color w:val="000000"/>
          <w:sz w:val="28"/>
        </w:rPr>
        <w:t>
      Дата подачи заявки: "_____" _____________ 20__г.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