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12e" w14:textId="cba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1494.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(САПП Республики Казахстан, 2009 г., № 12, ст. 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«основанием для перераспределения бюджетных средств между бюджетными подпрограммами бюджетных программ развития, финансируемых за счет средств внешних займов и грантов, в рамках годового объема бюджетных средств по бюджетной программе развития является утвержденное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отсутствии нормативного правового акта, указанного в абзаце десятом части третьей пункта 34 настоящих Правил,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(по ИС «Казначейство-клиент» отклоняются с указанием причины).»;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«Оплата работ, связанных со строительством либо реконструкцией зданий, сооружений, дорог, капитальным ремонтом помещений, зданий, сооружений, дорог и других объектов, в целом производится в пределах девяноста пяти процентов от общей суммы договора. Окончательный расчет за выполненные работы между заказчиком и подрядчиком производится после завершения работ, связанных со строительством либо реконструкцией зданий, сооружений, дорог, капитальным ремонтом помещений, зданий, сооружений, дорог, других объектов, и предъявления заказчиком в территориальные подразделения казначейства подписанного акта государственной приемочной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«159-1. Авансовая (предварительная) оплата по связанным грантам при оплате доли софинансирования Правительства Республики Казахстан по проектам Программы развития Организации Объединенных Наций производится в размере 100 процентов от суммы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«161-1. Оплата услуг по взаимодействию с международными рейтинговыми агентствами Standard&amp;Poor's, Moody's и Fitch Ratings (в том числе в случае их реорганизации в другое юридическое лицо) осуществляется в соответствии с условиями и сроками, обозначенными в заключенных с ними договорах или соглашениях.»;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«Местным исполнительным органам запрещается перераспределять суммы местных бюджетных инвестиционных проектов, финансируемых за счет целевых трансфертов на развитие из вышестоящего бюджета, в пределах одной бюджетной программы на расходы, связанные с увеличением сметной стоимости бюджетного инвестиционного проекта, а также на финансирование новых бюджетных инвестиционных проектов, за исключением случаев когда введение новых бюджетных инвестиционных проектов обусловлено предупреждением или ликвидацией чрезвычайных ситуаций природного и техногенного характера регионального и глобального масштаба на основании положительного решения Республиканской бюджетной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