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5b8b" w14:textId="1d85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Концептуального плана законотворческой работы на 2012 - 2016 годы (пятый созыв Мажилиса Парламента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2012 года № 1532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Концептуального плана законотворческой работы на 2012 - 2016 годы (пятый созыв Мажилиса Парламента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Kaзахстан                       С. Ахметов</w:t>
      </w:r>
    </w:p>
    <w:p>
      <w:pPr>
        <w:spacing w:after="0"/>
        <w:ind w:left="0"/>
        <w:jc w:val="left"/>
      </w:pPr>
      <w:r>
        <w:rPr>
          <w:rFonts w:ascii="Times New Roman"/>
          <w:b/>
          <w:i w:val="false"/>
          <w:color w:val="000000"/>
        </w:rPr>
        <w:t xml:space="preserve"> Об утверждении Концептуального плана законотворческой</w:t>
      </w:r>
      <w:r>
        <w:br/>
      </w:r>
      <w:r>
        <w:rPr>
          <w:rFonts w:ascii="Times New Roman"/>
          <w:b/>
          <w:i w:val="false"/>
          <w:color w:val="000000"/>
        </w:rPr>
        <w:t>
работы на 2012 - 2016 годы (пятый созыв Мажилиса</w:t>
      </w:r>
      <w:r>
        <w:br/>
      </w:r>
      <w:r>
        <w:rPr>
          <w:rFonts w:ascii="Times New Roman"/>
          <w:b/>
          <w:i w:val="false"/>
          <w:color w:val="000000"/>
        </w:rPr>
        <w:t>
Парламента Республики Казахстан)</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прилагаемый Концептуальный план законотворческой работы на 2012 - 2016 годы (пятый созыв Мажилиса Парламента</w:t>
      </w:r>
      <w:r>
        <w:br/>
      </w:r>
      <w:r>
        <w:rPr>
          <w:rFonts w:ascii="Times New Roman"/>
          <w:b w:val="false"/>
          <w:i w:val="false"/>
          <w:color w:val="000000"/>
          <w:sz w:val="28"/>
        </w:rPr>
        <w:t>
Республики Казахстан) (далее - Концептуальный план).</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обеспечить неукоснительное и своевременное исполнение мероприятий Концептуального плана;</w:t>
      </w:r>
      <w:r>
        <w:br/>
      </w:r>
      <w:r>
        <w:rPr>
          <w:rFonts w:ascii="Times New Roman"/>
          <w:b w:val="false"/>
          <w:i w:val="false"/>
          <w:color w:val="000000"/>
          <w:sz w:val="28"/>
        </w:rPr>
        <w:t>
      2) ежегодно, к 25 января, по итогам года представлять в Администрацию Президента Республики Казахстан информацию о ходе выполнения Концептуального плана.</w:t>
      </w:r>
      <w:r>
        <w:br/>
      </w:r>
      <w:r>
        <w:rPr>
          <w:rFonts w:ascii="Times New Roman"/>
          <w:b w:val="false"/>
          <w:i w:val="false"/>
          <w:color w:val="000000"/>
          <w:sz w:val="28"/>
        </w:rPr>
        <w:t>
      3. Первым руководителям государственных органов, непосредственно подчиненных и подотчетных Президенту Республики Казахстан, центральных и местных исполнительных органов, других государственных органов обеспечить неукоснительное и своевременное исполнение мероприятий Концептуального плана.</w:t>
      </w:r>
      <w:r>
        <w:br/>
      </w: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5.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декабря 2012 года № 1532</w:t>
      </w:r>
    </w:p>
    <w:p>
      <w:pPr>
        <w:spacing w:after="0"/>
        <w:ind w:left="0"/>
        <w:jc w:val="left"/>
      </w:pPr>
      <w:r>
        <w:rPr>
          <w:rFonts w:ascii="Times New Roman"/>
          <w:b/>
          <w:i w:val="false"/>
          <w:color w:val="000000"/>
        </w:rPr>
        <w:t xml:space="preserve"> Концептуальный план</w:t>
      </w:r>
      <w:r>
        <w:br/>
      </w:r>
      <w:r>
        <w:rPr>
          <w:rFonts w:ascii="Times New Roman"/>
          <w:b/>
          <w:i w:val="false"/>
          <w:color w:val="000000"/>
        </w:rPr>
        <w:t>
законотворческой работы на 2012 — 2016 годы</w:t>
      </w:r>
      <w:r>
        <w:br/>
      </w:r>
      <w:r>
        <w:rPr>
          <w:rFonts w:ascii="Times New Roman"/>
          <w:b/>
          <w:i w:val="false"/>
          <w:color w:val="000000"/>
        </w:rPr>
        <w:t>
(пятый созыв Мажилиса Парламента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3"/>
        <w:gridCol w:w="2149"/>
        <w:gridCol w:w="2648"/>
      </w:tblGrid>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внесения концепции законопроекта и/или законопроекта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2012 - 2013 годы (2 сессия) блоки здравоохранения, социального, трудового, жилищного, административного законодательства и законодательства в сфере чрезвычайных ситуаций</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административного законодательства</w:t>
            </w:r>
            <w:r>
              <w:br/>
            </w:r>
            <w:r>
              <w:rPr>
                <w:rFonts w:ascii="Times New Roman"/>
                <w:b w:val="false"/>
                <w:i w:val="false"/>
                <w:color w:val="000000"/>
                <w:sz w:val="20"/>
              </w:rPr>
              <w:t>
</w:t>
            </w:r>
            <w:r>
              <w:rPr>
                <w:rFonts w:ascii="Times New Roman"/>
                <w:b w:val="false"/>
                <w:i w:val="false"/>
                <w:color w:val="000000"/>
                <w:sz w:val="20"/>
              </w:rPr>
              <w:t>Предметом регулирования административного права являются также отношения в сфере государственной службы. В качестве приоритетных направлений ее развития предполагаются:</w:t>
            </w:r>
            <w:r>
              <w:br/>
            </w:r>
            <w:r>
              <w:rPr>
                <w:rFonts w:ascii="Times New Roman"/>
                <w:b w:val="false"/>
                <w:i w:val="false"/>
                <w:color w:val="000000"/>
                <w:sz w:val="20"/>
              </w:rPr>
              <w:t>
</w:t>
            </w:r>
            <w:r>
              <w:rPr>
                <w:rFonts w:ascii="Times New Roman"/>
                <w:b w:val="false"/>
                <w:i w:val="false"/>
                <w:color w:val="000000"/>
                <w:sz w:val="20"/>
              </w:rPr>
              <w:t>более четкое разграничение политической и административной государственной службы;</w:t>
            </w:r>
            <w:r>
              <w:br/>
            </w:r>
            <w:r>
              <w:rPr>
                <w:rFonts w:ascii="Times New Roman"/>
                <w:b w:val="false"/>
                <w:i w:val="false"/>
                <w:color w:val="000000"/>
                <w:sz w:val="20"/>
              </w:rPr>
              <w:t>
</w:t>
            </w:r>
            <w:r>
              <w:rPr>
                <w:rFonts w:ascii="Times New Roman"/>
                <w:b w:val="false"/>
                <w:i w:val="false"/>
                <w:color w:val="000000"/>
                <w:sz w:val="20"/>
              </w:rPr>
              <w:t>формирование новых и модернизация действующих институтов управления человеческими ресурсами на государственной службе.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АДГС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законопроекта в Парламент до 1 ноября 2012 года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области чрезвычайных ситуаций</w:t>
            </w:r>
            <w:r>
              <w:br/>
            </w:r>
            <w:r>
              <w:rPr>
                <w:rFonts w:ascii="Times New Roman"/>
                <w:b w:val="false"/>
                <w:i w:val="false"/>
                <w:color w:val="000000"/>
                <w:sz w:val="20"/>
              </w:rPr>
              <w:t>
</w:t>
            </w:r>
            <w:r>
              <w:rPr>
                <w:rFonts w:ascii="Times New Roman"/>
                <w:b w:val="false"/>
                <w:i w:val="false"/>
                <w:color w:val="000000"/>
                <w:sz w:val="20"/>
              </w:rPr>
              <w:t>Требуют совершенствования и консолидации многочисленные нормативные акты, регулирующие отношения в области чрезвычайных ситуаций природного и техногенного характера, гражданской обороны, пожарной и промышленной безопасности, что позволит повысить качество и уровень правового регулирования в этих сферах общественных отношений</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законопроекта в Парламент до 1 декабря 2012 года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области жилищных отношений</w:t>
            </w:r>
            <w:r>
              <w:br/>
            </w:r>
            <w:r>
              <w:rPr>
                <w:rFonts w:ascii="Times New Roman"/>
                <w:b w:val="false"/>
                <w:i w:val="false"/>
                <w:color w:val="000000"/>
                <w:sz w:val="20"/>
              </w:rPr>
              <w:t>
</w:t>
            </w:r>
            <w:r>
              <w:rPr>
                <w:rFonts w:ascii="Times New Roman"/>
                <w:b w:val="false"/>
                <w:i w:val="false"/>
                <w:color w:val="000000"/>
                <w:sz w:val="20"/>
              </w:rPr>
              <w:t>Одним из поручений Главы государства является «Обеспечение защиты прав долгосрочных арендаторов путем разработки типовых контрактов. Все договоры арендного найма должны быть прозрачными и понятными».</w:t>
            </w:r>
            <w:r>
              <w:br/>
            </w:r>
            <w:r>
              <w:rPr>
                <w:rFonts w:ascii="Times New Roman"/>
                <w:b w:val="false"/>
                <w:i w:val="false"/>
                <w:color w:val="000000"/>
                <w:sz w:val="20"/>
              </w:rPr>
              <w:t>
</w:t>
            </w:r>
            <w:r>
              <w:rPr>
                <w:rFonts w:ascii="Times New Roman"/>
                <w:b w:val="false"/>
                <w:i w:val="false"/>
                <w:color w:val="000000"/>
                <w:sz w:val="20"/>
              </w:rPr>
              <w:t>Согласно жилищному законодательству жилищный фонд Республики Казахстан включает в себя частный и государственный жилищные фонды.</w:t>
            </w:r>
            <w:r>
              <w:br/>
            </w:r>
            <w:r>
              <w:rPr>
                <w:rFonts w:ascii="Times New Roman"/>
                <w:b w:val="false"/>
                <w:i w:val="false"/>
                <w:color w:val="000000"/>
                <w:sz w:val="20"/>
              </w:rPr>
              <w:t>
</w:t>
            </w:r>
            <w:r>
              <w:rPr>
                <w:rFonts w:ascii="Times New Roman"/>
                <w:b w:val="false"/>
                <w:i w:val="false"/>
                <w:color w:val="000000"/>
                <w:sz w:val="20"/>
              </w:rPr>
              <w:t xml:space="preserve">В свою очередь, </w:t>
            </w:r>
            <w:r>
              <w:rPr>
                <w:rFonts w:ascii="Times New Roman"/>
                <w:b w:val="false"/>
                <w:i w:val="false"/>
                <w:color w:val="000000"/>
                <w:sz w:val="20"/>
              </w:rPr>
              <w:t>статья 80</w:t>
            </w:r>
            <w:r>
              <w:rPr>
                <w:rFonts w:ascii="Times New Roman"/>
                <w:b w:val="false"/>
                <w:i w:val="false"/>
                <w:color w:val="000000"/>
                <w:sz w:val="20"/>
              </w:rPr>
              <w:t xml:space="preserve"> Закона Республики Казахстан «О жилищных отношениях» регулирует отношения с заключением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0"/>
              </w:rPr>
              <w:t>
</w:t>
            </w:r>
            <w:r>
              <w:rPr>
                <w:rFonts w:ascii="Times New Roman"/>
                <w:b w:val="false"/>
                <w:i w:val="false"/>
                <w:color w:val="000000"/>
                <w:sz w:val="20"/>
              </w:rPr>
              <w:t xml:space="preserve">Так согласно </w:t>
            </w:r>
            <w:r>
              <w:rPr>
                <w:rFonts w:ascii="Times New Roman"/>
                <w:b w:val="false"/>
                <w:i w:val="false"/>
                <w:color w:val="000000"/>
                <w:sz w:val="20"/>
              </w:rPr>
              <w:t>пункту 3</w:t>
            </w:r>
            <w:r>
              <w:rPr>
                <w:rFonts w:ascii="Times New Roman"/>
                <w:b w:val="false"/>
                <w:i w:val="false"/>
                <w:color w:val="000000"/>
                <w:sz w:val="20"/>
              </w:rPr>
              <w:t xml:space="preserve"> данной статьи типовой договор найма (поднайма) жилища из государственного жилищного фонда или жилища, арендованного местным исполнительным органом в частном жилищном фонде, порядок предоставления жилища из государственного жилищного фонда или жилища, арендованного местным исполнительным органом в частном жилищном фонде, и пользования им утверждаются Правительством.</w:t>
            </w:r>
            <w:r>
              <w:br/>
            </w:r>
            <w:r>
              <w:rPr>
                <w:rFonts w:ascii="Times New Roman"/>
                <w:b w:val="false"/>
                <w:i w:val="false"/>
                <w:color w:val="000000"/>
                <w:sz w:val="20"/>
              </w:rPr>
              <w:t>
</w:t>
            </w:r>
            <w:r>
              <w:rPr>
                <w:rFonts w:ascii="Times New Roman"/>
                <w:b w:val="false"/>
                <w:i w:val="false"/>
                <w:color w:val="000000"/>
                <w:sz w:val="20"/>
              </w:rPr>
              <w:t>Вместе с тем действующим законодательством Типовой договор найма жилища из частного жилищного фонда не предусмотрен.</w:t>
            </w:r>
            <w:r>
              <w:br/>
            </w:r>
            <w:r>
              <w:rPr>
                <w:rFonts w:ascii="Times New Roman"/>
                <w:b w:val="false"/>
                <w:i w:val="false"/>
                <w:color w:val="000000"/>
                <w:sz w:val="20"/>
              </w:rPr>
              <w:t>
</w:t>
            </w:r>
            <w:r>
              <w:rPr>
                <w:rFonts w:ascii="Times New Roman"/>
                <w:b w:val="false"/>
                <w:i w:val="false"/>
                <w:color w:val="000000"/>
                <w:sz w:val="20"/>
              </w:rPr>
              <w:t xml:space="preserve">Во исполнение указанного поручения Главы государства необходимо закрепить в </w:t>
            </w:r>
            <w:r>
              <w:rPr>
                <w:rFonts w:ascii="Times New Roman"/>
                <w:b w:val="false"/>
                <w:i w:val="false"/>
                <w:color w:val="000000"/>
                <w:sz w:val="20"/>
              </w:rPr>
              <w:t>Законе</w:t>
            </w:r>
            <w:r>
              <w:rPr>
                <w:rFonts w:ascii="Times New Roman"/>
                <w:b w:val="false"/>
                <w:i w:val="false"/>
                <w:color w:val="000000"/>
                <w:sz w:val="20"/>
              </w:rPr>
              <w:t xml:space="preserve"> Республики Казахстан «О жилищных отношениях» компетенцию Правительства Республики Казахстан на утверждение Типового контракта на аренду жилища в частном жилищном фонде, в рамках которого предлагается предусмотреть условия проживания долгосрочного нанимателя (срок, размер платы за наем, распределение обязанностей по ремонту, основания выселения нанимателей, делегирование полномочий по представлению интересов собственника нанимателем на общем собрании и др.).</w:t>
            </w:r>
            <w:r>
              <w:br/>
            </w:r>
            <w:r>
              <w:rPr>
                <w:rFonts w:ascii="Times New Roman"/>
                <w:b w:val="false"/>
                <w:i w:val="false"/>
                <w:color w:val="000000"/>
                <w:sz w:val="20"/>
              </w:rPr>
              <w:t>
</w:t>
            </w:r>
            <w:r>
              <w:rPr>
                <w:rFonts w:ascii="Times New Roman"/>
                <w:b w:val="false"/>
                <w:i w:val="false"/>
                <w:color w:val="000000"/>
                <w:sz w:val="20"/>
              </w:rPr>
              <w:t>Вместе с тем с целью дальнейшего формирования «эффективного собственника» в законодательстве об административных правонарушениях необходимо предусмотреть ответственность:</w:t>
            </w:r>
            <w:r>
              <w:br/>
            </w:r>
            <w:r>
              <w:rPr>
                <w:rFonts w:ascii="Times New Roman"/>
                <w:b w:val="false"/>
                <w:i w:val="false"/>
                <w:color w:val="000000"/>
                <w:sz w:val="20"/>
              </w:rPr>
              <w:t>
</w:t>
            </w:r>
            <w:r>
              <w:rPr>
                <w:rFonts w:ascii="Times New Roman"/>
                <w:b w:val="false"/>
                <w:i w:val="false"/>
                <w:color w:val="000000"/>
                <w:sz w:val="20"/>
              </w:rPr>
              <w:t>- собственников помещений (квартир) за нарушение правил содержания общего имущества объекта кондоминиума и уклонение участника объекта кондоминиума от обязанности участвовать во всех расходах на содержание общего имущества объекта кондоминиума и дома более трех месяцев от установленной даты платежа без уважительных причин;</w:t>
            </w:r>
            <w:r>
              <w:br/>
            </w:r>
            <w:r>
              <w:rPr>
                <w:rFonts w:ascii="Times New Roman"/>
                <w:b w:val="false"/>
                <w:i w:val="false"/>
                <w:color w:val="000000"/>
                <w:sz w:val="20"/>
              </w:rPr>
              <w:t>
</w:t>
            </w:r>
            <w:r>
              <w:rPr>
                <w:rFonts w:ascii="Times New Roman"/>
                <w:b w:val="false"/>
                <w:i w:val="false"/>
                <w:color w:val="000000"/>
                <w:sz w:val="20"/>
              </w:rPr>
              <w:t>- органов управления объектом кондоминиума за занятие сервисной деятельностью в объекте кондоминиума, по отношению к которому они осуществляют функции управления.</w:t>
            </w:r>
            <w:r>
              <w:br/>
            </w:r>
            <w:r>
              <w:rPr>
                <w:rFonts w:ascii="Times New Roman"/>
                <w:b w:val="false"/>
                <w:i w:val="false"/>
                <w:color w:val="000000"/>
                <w:sz w:val="20"/>
              </w:rPr>
              <w:t>
</w:t>
            </w:r>
            <w:r>
              <w:rPr>
                <w:rFonts w:ascii="Times New Roman"/>
                <w:b w:val="false"/>
                <w:i w:val="false"/>
                <w:color w:val="000000"/>
                <w:sz w:val="20"/>
              </w:rPr>
              <w:t>Также законопроектом будет предусмотрено правовое разрешение вопросов дальнейшего формирования оптимальной модели жилищных отношений, а также совершенствования жилищного законодательства, регламентирующего порядок и условия предоставления жилищ из государственного жилищного фонда.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АДСЖКХ</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законопроекта на рассмотрение Межведомственной комиссии по вопросам законопроектной деятельности при Правительстве Республики Казахстан до 1 ноября 2012 года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области трудовых отношений</w:t>
            </w:r>
            <w:r>
              <w:br/>
            </w:r>
            <w:r>
              <w:rPr>
                <w:rFonts w:ascii="Times New Roman"/>
                <w:b w:val="false"/>
                <w:i w:val="false"/>
                <w:color w:val="000000"/>
                <w:sz w:val="20"/>
              </w:rPr>
              <w:t>
</w:t>
            </w:r>
            <w:r>
              <w:rPr>
                <w:rFonts w:ascii="Times New Roman"/>
                <w:b w:val="false"/>
                <w:i w:val="false"/>
                <w:color w:val="000000"/>
                <w:sz w:val="20"/>
              </w:rPr>
              <w:t>В условиях рыночной экономики, наличия рынка труда и проблем занятости населения актуальным является вопрос трудовых правоотношений. В этой связи необходимо постоянное совершенствование трудового законодательства на основе системного анализа практики его применения и учета международного опыта в данной сфере.</w:t>
            </w:r>
            <w:r>
              <w:br/>
            </w:r>
            <w:r>
              <w:rPr>
                <w:rFonts w:ascii="Times New Roman"/>
                <w:b w:val="false"/>
                <w:i w:val="false"/>
                <w:color w:val="000000"/>
                <w:sz w:val="20"/>
              </w:rPr>
              <w:t>
</w:t>
            </w:r>
            <w:r>
              <w:rPr>
                <w:rFonts w:ascii="Times New Roman"/>
                <w:b w:val="false"/>
                <w:i w:val="false"/>
                <w:color w:val="000000"/>
                <w:sz w:val="20"/>
              </w:rPr>
              <w:t>При этом требуют проработки вопросы дальнейшей дифференциации трудового и социального законодательства в зависимости от характера трудовой деятельности и условий труда работников, а также вопросы расширения сферы применения и инструментов социального партнерства.</w:t>
            </w:r>
            <w:r>
              <w:br/>
            </w:r>
            <w:r>
              <w:rPr>
                <w:rFonts w:ascii="Times New Roman"/>
                <w:b w:val="false"/>
                <w:i w:val="false"/>
                <w:color w:val="000000"/>
                <w:sz w:val="20"/>
              </w:rPr>
              <w:t>
</w:t>
            </w:r>
            <w:r>
              <w:rPr>
                <w:rFonts w:ascii="Times New Roman"/>
                <w:b/>
                <w:i w:val="false"/>
                <w:color w:val="000000"/>
                <w:sz w:val="20"/>
              </w:rPr>
              <w:t>1.1. Модернизация профсоюзных институтов</w:t>
            </w:r>
            <w:r>
              <w:br/>
            </w:r>
            <w:r>
              <w:rPr>
                <w:rFonts w:ascii="Times New Roman"/>
                <w:b w:val="false"/>
                <w:i w:val="false"/>
                <w:color w:val="000000"/>
                <w:sz w:val="20"/>
              </w:rPr>
              <w:t>
</w:t>
            </w:r>
            <w:r>
              <w:rPr>
                <w:rFonts w:ascii="Times New Roman"/>
                <w:b w:val="false"/>
                <w:i w:val="false"/>
                <w:color w:val="000000"/>
                <w:sz w:val="20"/>
              </w:rPr>
              <w:t>Одним из основных партнеров государства в вопросах совершенствования трудовых отношений выступают профсоюзы. Вместе с тем нынешний формат деятельности крупнейшего профцентра - Федерации профсоюзов Казахстана (ФПК) не соответствует требованиям времени, так как он строится по отраслевому принципу «советского образца».</w:t>
            </w:r>
            <w:r>
              <w:br/>
            </w:r>
            <w:r>
              <w:rPr>
                <w:rFonts w:ascii="Times New Roman"/>
                <w:b w:val="false"/>
                <w:i w:val="false"/>
                <w:color w:val="000000"/>
                <w:sz w:val="20"/>
              </w:rPr>
              <w:t>
</w:t>
            </w:r>
            <w:r>
              <w:rPr>
                <w:rFonts w:ascii="Times New Roman"/>
                <w:b w:val="false"/>
                <w:i w:val="false"/>
                <w:color w:val="000000"/>
                <w:sz w:val="20"/>
              </w:rPr>
              <w:t>Существенным проблемным моментом является неэффективное законодательство о профессиональных союзах. В нем неясно изложены положения о коллективных договорах, ответственности сторон за их выполнение.</w:t>
            </w:r>
            <w:r>
              <w:br/>
            </w:r>
            <w:r>
              <w:rPr>
                <w:rFonts w:ascii="Times New Roman"/>
                <w:b w:val="false"/>
                <w:i w:val="false"/>
                <w:color w:val="000000"/>
                <w:sz w:val="20"/>
              </w:rPr>
              <w:t>
</w:t>
            </w:r>
            <w:r>
              <w:rPr>
                <w:rFonts w:ascii="Times New Roman"/>
                <w:b w:val="false"/>
                <w:i w:val="false"/>
                <w:color w:val="000000"/>
                <w:sz w:val="20"/>
              </w:rPr>
              <w:t>Поэтому сейчас требуются решительные шаги по модернизации профсоюзного движения, прежде всего ФПК.</w:t>
            </w:r>
            <w:r>
              <w:br/>
            </w:r>
            <w:r>
              <w:rPr>
                <w:rFonts w:ascii="Times New Roman"/>
                <w:b w:val="false"/>
                <w:i w:val="false"/>
                <w:color w:val="000000"/>
                <w:sz w:val="20"/>
              </w:rPr>
              <w:t>
</w:t>
            </w:r>
            <w:r>
              <w:rPr>
                <w:rFonts w:ascii="Times New Roman"/>
                <w:b/>
                <w:i w:val="false"/>
                <w:color w:val="000000"/>
                <w:sz w:val="20"/>
              </w:rPr>
              <w:t>1.2. Построение эффективного многоуровневого механизма регулирования противоречий в сфере трудовых отношений</w:t>
            </w:r>
            <w:r>
              <w:br/>
            </w:r>
            <w:r>
              <w:rPr>
                <w:rFonts w:ascii="Times New Roman"/>
                <w:b w:val="false"/>
                <w:i w:val="false"/>
                <w:color w:val="000000"/>
                <w:sz w:val="20"/>
              </w:rPr>
              <w:t>
</w:t>
            </w:r>
            <w:r>
              <w:rPr>
                <w:rFonts w:ascii="Times New Roman"/>
                <w:b w:val="false"/>
                <w:i w:val="false"/>
                <w:color w:val="000000"/>
                <w:sz w:val="20"/>
              </w:rPr>
              <w:t>В качестве основных причин трудовых конфликтов можно назвать две: первая - отчужденность работников от вопросов управления предприятиями, вторая - слабость механизмов внесудебного урегулирования споров и конфликтов.</w:t>
            </w:r>
            <w:r>
              <w:br/>
            </w:r>
            <w:r>
              <w:rPr>
                <w:rFonts w:ascii="Times New Roman"/>
                <w:b w:val="false"/>
                <w:i w:val="false"/>
                <w:color w:val="000000"/>
                <w:sz w:val="20"/>
              </w:rPr>
              <w:t>
</w:t>
            </w:r>
            <w:r>
              <w:rPr>
                <w:rFonts w:ascii="Times New Roman"/>
                <w:b w:val="false"/>
                <w:i w:val="false"/>
                <w:color w:val="000000"/>
                <w:sz w:val="20"/>
              </w:rPr>
              <w:t>Здесь надо использовать опыт ряда развитых стран, на предприятиях которых действуют производственные советы, в состав которых входят представители рабочих и персонала, а также профессиональных союзов. Как правило, на заседаниях совета решаются многие вопросы состояния и улучшения условий труда, рассматриваются различные социально-бытовые вопросы работников.</w:t>
            </w:r>
            <w:r>
              <w:br/>
            </w:r>
            <w:r>
              <w:rPr>
                <w:rFonts w:ascii="Times New Roman"/>
                <w:b w:val="false"/>
                <w:i w:val="false"/>
                <w:color w:val="000000"/>
                <w:sz w:val="20"/>
              </w:rPr>
              <w:t>
</w:t>
            </w:r>
            <w:r>
              <w:rPr>
                <w:rFonts w:ascii="Times New Roman"/>
                <w:b w:val="false"/>
                <w:i w:val="false"/>
                <w:color w:val="000000"/>
                <w:sz w:val="20"/>
              </w:rPr>
              <w:t>Нередко одной из сторон социально-трудовых конфликтов становится трудовой коллектив, спровоцированный намеренным ухудшением условий труда, срывом производственного процесса, задержками выплаты заработной платы и т. д.</w:t>
            </w:r>
            <w:r>
              <w:br/>
            </w:r>
            <w:r>
              <w:rPr>
                <w:rFonts w:ascii="Times New Roman"/>
                <w:b w:val="false"/>
                <w:i w:val="false"/>
                <w:color w:val="000000"/>
                <w:sz w:val="20"/>
              </w:rPr>
              <w:t>
</w:t>
            </w:r>
            <w:r>
              <w:rPr>
                <w:rFonts w:ascii="Times New Roman"/>
                <w:b w:val="false"/>
                <w:i w:val="false"/>
                <w:color w:val="000000"/>
                <w:sz w:val="20"/>
              </w:rPr>
              <w:t xml:space="preserve">В то же время ни в </w:t>
            </w:r>
            <w:r>
              <w:rPr>
                <w:rFonts w:ascii="Times New Roman"/>
                <w:b w:val="false"/>
                <w:i w:val="false"/>
                <w:color w:val="000000"/>
                <w:sz w:val="20"/>
              </w:rPr>
              <w:t>Трудовом</w:t>
            </w:r>
            <w:r>
              <w:rPr>
                <w:rFonts w:ascii="Times New Roman"/>
                <w:b w:val="false"/>
                <w:i w:val="false"/>
                <w:color w:val="000000"/>
                <w:sz w:val="20"/>
              </w:rPr>
              <w:t xml:space="preserve">, ни в </w:t>
            </w:r>
            <w:r>
              <w:rPr>
                <w:rFonts w:ascii="Times New Roman"/>
                <w:b w:val="false"/>
                <w:i w:val="false"/>
                <w:color w:val="000000"/>
                <w:sz w:val="20"/>
              </w:rPr>
              <w:t>Административном</w:t>
            </w:r>
            <w:r>
              <w:rPr>
                <w:rFonts w:ascii="Times New Roman"/>
                <w:b w:val="false"/>
                <w:i w:val="false"/>
                <w:color w:val="000000"/>
                <w:sz w:val="20"/>
              </w:rPr>
              <w:t xml:space="preserve">, ни в  </w:t>
            </w:r>
            <w:r>
              <w:rPr>
                <w:rFonts w:ascii="Times New Roman"/>
                <w:b w:val="false"/>
                <w:i w:val="false"/>
                <w:color w:val="000000"/>
                <w:sz w:val="20"/>
              </w:rPr>
              <w:t>Уголовном</w:t>
            </w:r>
            <w:r>
              <w:rPr>
                <w:rFonts w:ascii="Times New Roman"/>
                <w:b w:val="false"/>
                <w:i w:val="false"/>
                <w:color w:val="000000"/>
                <w:sz w:val="20"/>
              </w:rPr>
              <w:t> кодексах нет статей об ответственности за провоцирование трудовых конфликтов со стороны работодателей, должностных и иных лиц.</w:t>
            </w:r>
            <w:r>
              <w:br/>
            </w:r>
            <w:r>
              <w:rPr>
                <w:rFonts w:ascii="Times New Roman"/>
                <w:b w:val="false"/>
                <w:i w:val="false"/>
                <w:color w:val="000000"/>
                <w:sz w:val="20"/>
              </w:rPr>
              <w:t>
</w:t>
            </w:r>
            <w:r>
              <w:rPr>
                <w:rFonts w:ascii="Times New Roman"/>
                <w:b w:val="false"/>
                <w:i w:val="false"/>
                <w:color w:val="000000"/>
                <w:sz w:val="20"/>
              </w:rPr>
              <w:t>Сегодня надо усилить работу по созданию и использованию структур и процедур медиации, в том числе в сфере трудовых отношений.</w:t>
            </w:r>
            <w:r>
              <w:br/>
            </w:r>
            <w:r>
              <w:rPr>
                <w:rFonts w:ascii="Times New Roman"/>
                <w:b w:val="false"/>
                <w:i w:val="false"/>
                <w:color w:val="000000"/>
                <w:sz w:val="20"/>
              </w:rPr>
              <w:t>
</w:t>
            </w:r>
            <w:r>
              <w:rPr>
                <w:rFonts w:ascii="Times New Roman"/>
                <w:b w:val="false"/>
                <w:i w:val="false"/>
                <w:color w:val="000000"/>
                <w:sz w:val="20"/>
              </w:rPr>
              <w:t>Структуры медиации надо создавать в национальных и крупных частных компаниях. В США, Австралии и других странах до трети всех споров урегулируются до судебного вмешательства исключительно в рамках процедур медиации.</w:t>
            </w:r>
            <w:r>
              <w:br/>
            </w:r>
            <w:r>
              <w:rPr>
                <w:rFonts w:ascii="Times New Roman"/>
                <w:b w:val="false"/>
                <w:i w:val="false"/>
                <w:color w:val="000000"/>
                <w:sz w:val="20"/>
              </w:rPr>
              <w:t>
</w:t>
            </w:r>
            <w:r>
              <w:rPr>
                <w:rFonts w:ascii="Times New Roman"/>
                <w:b w:val="false"/>
                <w:i w:val="false"/>
                <w:color w:val="000000"/>
                <w:sz w:val="20"/>
              </w:rPr>
              <w:t>Со стороны государства сейчас важны инициативные шаги, которые позволят внедрить систему внесудебного разрешения споров и конфликтов, в том числе и в сфере социально-трудовых отношений.</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законопроекта на рассмотрение Межведомственной комиссии по вопросам законопроектной деятельности при Правительстве Республики Казахстан до 1 ноября 2012 гола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административного законодательства</w:t>
            </w:r>
            <w:r>
              <w:br/>
            </w:r>
            <w:r>
              <w:rPr>
                <w:rFonts w:ascii="Times New Roman"/>
                <w:b w:val="false"/>
                <w:i w:val="false"/>
                <w:color w:val="000000"/>
                <w:sz w:val="20"/>
              </w:rPr>
              <w:t>
</w:t>
            </w:r>
            <w:r>
              <w:rPr>
                <w:rFonts w:ascii="Times New Roman"/>
                <w:b w:val="false"/>
                <w:i w:val="false"/>
                <w:color w:val="000000"/>
                <w:sz w:val="20"/>
              </w:rPr>
              <w:t>Следует совершенствовать механизмы обращения граждан в государственные органы и к должностным лицам государства как формы их участия в государственном управлении и способа защиты своих прав и свобод.</w:t>
            </w:r>
            <w:r>
              <w:br/>
            </w:r>
            <w:r>
              <w:rPr>
                <w:rFonts w:ascii="Times New Roman"/>
                <w:b w:val="false"/>
                <w:i w:val="false"/>
                <w:color w:val="000000"/>
                <w:sz w:val="20"/>
              </w:rPr>
              <w:t>
</w:t>
            </w:r>
            <w:r>
              <w:rPr>
                <w:rFonts w:ascii="Times New Roman"/>
                <w:b w:val="false"/>
                <w:i w:val="false"/>
                <w:color w:val="000000"/>
                <w:sz w:val="20"/>
              </w:rPr>
              <w:t>Фактически возникает новый институт административного права, регулирующий отношения в сфере оказания государственных услуг гражданам и организациям. Для обеспечения функционирования этого института нужна соответствующая правовая база, основополагающим принципом которой станет ориентация деятельности государственных органов на удовлетворение законных прав, интересов граждан. Качественные государственные услуги должны приносить пользу каждому гражданину вне зависимости от сферы его деятельности.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законопроекта в Правительство до декабря 2012 года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области здравоохранения</w:t>
            </w:r>
            <w:r>
              <w:br/>
            </w:r>
            <w:r>
              <w:rPr>
                <w:rFonts w:ascii="Times New Roman"/>
                <w:b w:val="false"/>
                <w:i w:val="false"/>
                <w:color w:val="000000"/>
                <w:sz w:val="20"/>
              </w:rPr>
              <w:t>
</w:t>
            </w:r>
            <w:r>
              <w:rPr>
                <w:rFonts w:ascii="Times New Roman"/>
                <w:b w:val="false"/>
                <w:i w:val="false"/>
                <w:color w:val="000000"/>
                <w:sz w:val="20"/>
              </w:rPr>
              <w:t>Действующим законодательством в сфере здравоохранения в недостаточной мере учитываются такие реальные жизненно важные факторы, как динамичное развитие рынка медицинских услуг, развитие новых технологий, появление новых лекарственных средств, дальнейшее совершенствование системы финансирования с ориентацией на достижение конечного положительного результата, формирование и внедрение новых инновационных направлений в медицинской науке и практике.</w:t>
            </w:r>
            <w:r>
              <w:br/>
            </w:r>
            <w:r>
              <w:rPr>
                <w:rFonts w:ascii="Times New Roman"/>
                <w:b w:val="false"/>
                <w:i w:val="false"/>
                <w:color w:val="000000"/>
                <w:sz w:val="20"/>
              </w:rPr>
              <w:t>
</w:t>
            </w:r>
            <w:r>
              <w:rPr>
                <w:rFonts w:ascii="Times New Roman"/>
                <w:b w:val="false"/>
                <w:i w:val="false"/>
                <w:color w:val="000000"/>
                <w:sz w:val="20"/>
              </w:rPr>
              <w:t>Одной из серьезных проблем в сфере здравоохранения является отсутствие современного производства препаратов крови. Для решения проблем обеспечения населения препаратами крови целесообразно перейти на контрактное фракционирование собственного сырья на зарубежных заводах, что имеет, в сравнении с закупом готовых препаратов, экономические выгоды.</w:t>
            </w:r>
            <w:r>
              <w:br/>
            </w:r>
            <w:r>
              <w:rPr>
                <w:rFonts w:ascii="Times New Roman"/>
                <w:b w:val="false"/>
                <w:i w:val="false"/>
                <w:color w:val="000000"/>
                <w:sz w:val="20"/>
              </w:rPr>
              <w:t>
</w:t>
            </w:r>
            <w:r>
              <w:rPr>
                <w:rFonts w:ascii="Times New Roman"/>
                <w:b w:val="false"/>
                <w:i w:val="false"/>
                <w:color w:val="000000"/>
                <w:sz w:val="20"/>
              </w:rPr>
              <w:t>В настоящее время в действующем законодательстве отсутствуют нормы, определяющие и регламентирующие вопросы трансплантации гемопоэтических стволовых клеток. В этой связи, необходимо создать законодательную базу для развития деятельности по трансплантации гемопоэтических стволовых клеток, в частности, ввести понятие гемопоэтических стволовых клеток, системы антилейкоцитарных антигенов (HLA), предусмотреть основания их вывоза за рубеж и ввоза в страну, нормы, регламентирующие деятельность регистра потенциальных доноров гемопоэтических стволовых клеток, и другие.</w:t>
            </w:r>
            <w:r>
              <w:br/>
            </w:r>
            <w:r>
              <w:rPr>
                <w:rFonts w:ascii="Times New Roman"/>
                <w:b w:val="false"/>
                <w:i w:val="false"/>
                <w:color w:val="000000"/>
                <w:sz w:val="20"/>
              </w:rPr>
              <w:t>
</w:t>
            </w:r>
            <w:r>
              <w:rPr>
                <w:rFonts w:ascii="Times New Roman"/>
                <w:b w:val="false"/>
                <w:i w:val="false"/>
                <w:color w:val="000000"/>
                <w:sz w:val="20"/>
              </w:rPr>
              <w:t>В рамках Таможенного союза также появилась необходимость совершенствования некоторых вопросов правового регулирования изделий медицинского назначения и медицинской техники.</w:t>
            </w:r>
            <w:r>
              <w:br/>
            </w:r>
            <w:r>
              <w:rPr>
                <w:rFonts w:ascii="Times New Roman"/>
                <w:b w:val="false"/>
                <w:i w:val="false"/>
                <w:color w:val="000000"/>
                <w:sz w:val="20"/>
              </w:rPr>
              <w:t>
</w:t>
            </w:r>
            <w:r>
              <w:rPr>
                <w:rFonts w:ascii="Times New Roman"/>
                <w:b w:val="false"/>
                <w:i w:val="false"/>
                <w:color w:val="000000"/>
                <w:sz w:val="20"/>
              </w:rPr>
              <w:t>В целях недопущения нерационального применения лекарственных средств, снижения риска здоровью пациентов, связанных с бесконтрольным применением лекарственных средств, необходимо ужесточение подходов к рекламе медицинской продукции.</w:t>
            </w:r>
            <w:r>
              <w:br/>
            </w:r>
            <w:r>
              <w:rPr>
                <w:rFonts w:ascii="Times New Roman"/>
                <w:b w:val="false"/>
                <w:i w:val="false"/>
                <w:color w:val="000000"/>
                <w:sz w:val="20"/>
              </w:rPr>
              <w:t>
</w:t>
            </w:r>
            <w:r>
              <w:rPr>
                <w:rFonts w:ascii="Times New Roman"/>
                <w:b w:val="false"/>
                <w:i w:val="false"/>
                <w:color w:val="000000"/>
                <w:sz w:val="20"/>
              </w:rPr>
              <w:t>В реализацию поручений, озвученных Главой государства в программной статье «Социальная модернизация Казахстана: Двадцать шагов к обществу всеобщего труда» предполагается предусмотреть четкие правовые нормы по усилению ответственности местных исполнительных органов за реализацию политики в области здравоохранения, а также принятие комплекса мер по повышению «лекарственной» грамотности населения».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законопроекта на рассмотрение Межведомственной комиссии по вопросам законопроектной деятельности при Правительстве Республики Казахстан до 1 декабря 2012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2013 - 2014 годы (3 сессия) социальный, уголовный и административно-правовой блоки законодательства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Развитие механизмов социализации граждан, относящихся к категории социально уязвимого населения</w:t>
            </w:r>
            <w:r>
              <w:br/>
            </w:r>
            <w:r>
              <w:rPr>
                <w:rFonts w:ascii="Times New Roman"/>
                <w:b w:val="false"/>
                <w:i w:val="false"/>
                <w:color w:val="000000"/>
                <w:sz w:val="20"/>
              </w:rPr>
              <w:t>
</w:t>
            </w:r>
            <w:r>
              <w:rPr>
                <w:rFonts w:ascii="Times New Roman"/>
                <w:b w:val="false"/>
                <w:i w:val="false"/>
                <w:color w:val="000000"/>
                <w:sz w:val="20"/>
              </w:rPr>
              <w:t>Это, в первую очередь, инвалиды и люди с ограниченными возможностями, члены многодетных семей, лица предпенсионного возраста и т.д.</w:t>
            </w:r>
            <w:r>
              <w:br/>
            </w:r>
            <w:r>
              <w:rPr>
                <w:rFonts w:ascii="Times New Roman"/>
                <w:b w:val="false"/>
                <w:i w:val="false"/>
                <w:color w:val="000000"/>
                <w:sz w:val="20"/>
              </w:rPr>
              <w:t>
</w:t>
            </w:r>
            <w:r>
              <w:rPr>
                <w:rFonts w:ascii="Times New Roman"/>
                <w:b w:val="false"/>
                <w:i w:val="false"/>
                <w:color w:val="000000"/>
                <w:sz w:val="20"/>
              </w:rPr>
              <w:t>Причем главным подходом должны стать не опека государства, а создание таких условий, которые бы помогли этим гражданам обрести веру в себя, в свои возможности к социально полезному труду.</w:t>
            </w:r>
            <w:r>
              <w:br/>
            </w:r>
            <w:r>
              <w:rPr>
                <w:rFonts w:ascii="Times New Roman"/>
                <w:b w:val="false"/>
                <w:i w:val="false"/>
                <w:color w:val="000000"/>
                <w:sz w:val="20"/>
              </w:rPr>
              <w:t>
</w:t>
            </w:r>
            <w:r>
              <w:rPr>
                <w:rFonts w:ascii="Times New Roman"/>
                <w:b w:val="false"/>
                <w:i w:val="false"/>
                <w:color w:val="000000"/>
                <w:sz w:val="20"/>
              </w:rPr>
              <w:t>На этот счет необходимо специальное законодательство, например, о социальных рабочих местах.</w:t>
            </w:r>
            <w:r>
              <w:br/>
            </w:r>
            <w:r>
              <w:rPr>
                <w:rFonts w:ascii="Times New Roman"/>
                <w:b w:val="false"/>
                <w:i w:val="false"/>
                <w:color w:val="000000"/>
                <w:sz w:val="20"/>
              </w:rPr>
              <w:t>
</w:t>
            </w:r>
            <w:r>
              <w:rPr>
                <w:rFonts w:ascii="Times New Roman"/>
                <w:b w:val="false"/>
                <w:i w:val="false"/>
                <w:color w:val="000000"/>
                <w:sz w:val="20"/>
              </w:rPr>
              <w:t>Важно создать систему непатерналистской поддержки многодетных семей и женщин, воспитывающих несовершеннолетних детей.</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законопроекта на рассмотрение Межведомственной комиссии по вопросам законопроектной деятельности при Правительстве Республики Казахстан до 1 марта 2013 года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молодежной политики</w:t>
            </w:r>
            <w:r>
              <w:br/>
            </w:r>
            <w:r>
              <w:rPr>
                <w:rFonts w:ascii="Times New Roman"/>
                <w:b w:val="false"/>
                <w:i w:val="false"/>
                <w:color w:val="000000"/>
                <w:sz w:val="20"/>
              </w:rPr>
              <w:t>
</w:t>
            </w:r>
            <w:r>
              <w:rPr>
                <w:rFonts w:ascii="Times New Roman"/>
                <w:b w:val="false"/>
                <w:i w:val="false"/>
                <w:color w:val="000000"/>
                <w:sz w:val="20"/>
              </w:rPr>
              <w:t xml:space="preserve">Декларативность присуща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государственной молодежной политике», принятому в 2004 году. Ряд законодательных норм не работают в связи с отсутствием подзаконных правовых актов либо недостаточностью контроля за их исполнением.</w:t>
            </w:r>
            <w:r>
              <w:br/>
            </w:r>
            <w:r>
              <w:rPr>
                <w:rFonts w:ascii="Times New Roman"/>
                <w:b w:val="false"/>
                <w:i w:val="false"/>
                <w:color w:val="000000"/>
                <w:sz w:val="20"/>
              </w:rPr>
              <w:t>
</w:t>
            </w:r>
            <w:r>
              <w:rPr>
                <w:rFonts w:ascii="Times New Roman"/>
                <w:b w:val="false"/>
                <w:i w:val="false"/>
                <w:color w:val="000000"/>
                <w:sz w:val="20"/>
              </w:rPr>
              <w:t>Несовершенство норм трудового законодательства в части испытательных сроков для вновь принимаемых работников: практика использования труда молодых специалистов без оплаты труда, но при полной рабочей нагрузке и сверхурочно, без правовых гарантий дальнейшего трудоустройства.</w:t>
            </w:r>
            <w:r>
              <w:br/>
            </w:r>
            <w:r>
              <w:rPr>
                <w:rFonts w:ascii="Times New Roman"/>
                <w:b w:val="false"/>
                <w:i w:val="false"/>
                <w:color w:val="000000"/>
                <w:sz w:val="20"/>
              </w:rPr>
              <w:t>
</w:t>
            </w:r>
            <w:r>
              <w:rPr>
                <w:rFonts w:ascii="Times New Roman"/>
                <w:b/>
                <w:i w:val="false"/>
                <w:color w:val="000000"/>
                <w:sz w:val="20"/>
              </w:rPr>
              <w:t>Определение механизмов «Социальных лифтов»</w:t>
            </w:r>
            <w:r>
              <w:br/>
            </w:r>
            <w:r>
              <w:rPr>
                <w:rFonts w:ascii="Times New Roman"/>
                <w:b w:val="false"/>
                <w:i w:val="false"/>
                <w:color w:val="000000"/>
                <w:sz w:val="20"/>
              </w:rPr>
              <w:t>
</w:t>
            </w:r>
            <w:r>
              <w:rPr>
                <w:rFonts w:ascii="Times New Roman"/>
                <w:b w:val="false"/>
                <w:i w:val="false"/>
                <w:color w:val="000000"/>
                <w:sz w:val="20"/>
              </w:rPr>
              <w:t>Важно создать механизмы «социальных лифтов» для молодых казахстанцев. Требуется законодательство о Национальной системе профессиональной квалификации.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законопроекта рассмотрение Межведомственной комиссии по вопросам законопроектной деятельности при Правительстве Республики Казахстан до 1 мая 2013 года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уголовного законодательства</w:t>
            </w:r>
            <w:r>
              <w:br/>
            </w:r>
            <w:r>
              <w:rPr>
                <w:rFonts w:ascii="Times New Roman"/>
                <w:b w:val="false"/>
                <w:i w:val="false"/>
                <w:color w:val="000000"/>
                <w:sz w:val="20"/>
              </w:rPr>
              <w:t>
</w:t>
            </w:r>
            <w:r>
              <w:rPr>
                <w:rFonts w:ascii="Times New Roman"/>
                <w:b w:val="false"/>
                <w:i w:val="false"/>
                <w:color w:val="000000"/>
                <w:sz w:val="20"/>
              </w:rPr>
              <w:t>Дальнейшее развитие уголовного права, как и прежде, должно осуществляться с учетом двухвекторности уголовной политики. Вместе с тем, необходимо и впредь проводить жесткую уголовную политику в отношении лиц, виновных в совершении тяжких и особо тяжких преступлений, скрывающихся от уголовного преследования, а также при рецидиве преступлении.</w:t>
            </w:r>
            <w:r>
              <w:br/>
            </w:r>
            <w:r>
              <w:rPr>
                <w:rFonts w:ascii="Times New Roman"/>
                <w:b w:val="false"/>
                <w:i w:val="false"/>
                <w:color w:val="000000"/>
                <w:sz w:val="20"/>
              </w:rPr>
              <w:t>
</w:t>
            </w:r>
            <w:r>
              <w:rPr>
                <w:rFonts w:ascii="Times New Roman"/>
                <w:b w:val="false"/>
                <w:i w:val="false"/>
                <w:color w:val="000000"/>
                <w:sz w:val="20"/>
              </w:rPr>
              <w:t>Важнейшим направлением развития уголовного права является определение возможностей поэтапного сокращения сферы применения уголовной репрессии путем расширения условий освобождения от уголовного наказания, прежде всего по отношению к лицам, не представляющим большой общественной опасности (несовершеннолетним, лицам, совершившим неосторожные преступления, к иным лицам - при наличии смягчающих обстоятельств).</w:t>
            </w:r>
            <w:r>
              <w:br/>
            </w:r>
            <w:r>
              <w:rPr>
                <w:rFonts w:ascii="Times New Roman"/>
                <w:b w:val="false"/>
                <w:i w:val="false"/>
                <w:color w:val="000000"/>
                <w:sz w:val="20"/>
              </w:rPr>
              <w:t>
</w:t>
            </w:r>
            <w:r>
              <w:rPr>
                <w:rFonts w:ascii="Times New Roman"/>
                <w:b w:val="false"/>
                <w:i w:val="false"/>
                <w:color w:val="000000"/>
                <w:sz w:val="20"/>
              </w:rPr>
              <w:t>Важным также является приведение уголовного закона в соответствие с международными договорами, ратифицированными Казахстаном. Речь, в частности, идет не только о декриминализации, но и обратном процессе - о криминализации определенных видов правонарушений, а также о введении уголовной ответственности юридических лиц за некоторые категории преступлений, в том числе за экологические, экономические и коррупционные преступления.</w:t>
            </w:r>
            <w:r>
              <w:br/>
            </w:r>
            <w:r>
              <w:rPr>
                <w:rFonts w:ascii="Times New Roman"/>
                <w:b w:val="false"/>
                <w:i w:val="false"/>
                <w:color w:val="000000"/>
                <w:sz w:val="20"/>
              </w:rPr>
              <w:t>
</w:t>
            </w:r>
            <w:r>
              <w:rPr>
                <w:rFonts w:ascii="Times New Roman"/>
                <w:b w:val="false"/>
                <w:i w:val="false"/>
                <w:color w:val="000000"/>
                <w:sz w:val="20"/>
              </w:rPr>
              <w:t>Дальнейшее совершенствование уголовного права связано с повышением качества законов - закон, ограничивающий конституционные права и свободы,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позволяющих со всей определенностью отличать правомерное поведение от противоправного, исключая возможность произвольной интерпретации положений закона.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законопроекта в Правительство до 20 мая 2013 года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уголовно-процессуального законодательства</w:t>
            </w:r>
            <w:r>
              <w:br/>
            </w:r>
            <w:r>
              <w:rPr>
                <w:rFonts w:ascii="Times New Roman"/>
                <w:b w:val="false"/>
                <w:i w:val="false"/>
                <w:color w:val="000000"/>
                <w:sz w:val="20"/>
              </w:rPr>
              <w:t>
</w:t>
            </w:r>
            <w:r>
              <w:rPr>
                <w:rFonts w:ascii="Times New Roman"/>
                <w:b w:val="false"/>
                <w:i w:val="false"/>
                <w:color w:val="000000"/>
                <w:sz w:val="20"/>
              </w:rPr>
              <w:t>Приоритетом развития уголовно-процессуального права остается дальнейшая последовательная реализация основополагающих принципов уголовного судопроизводства, направленных на защиту прав и свобод человека.</w:t>
            </w:r>
            <w:r>
              <w:br/>
            </w:r>
            <w:r>
              <w:rPr>
                <w:rFonts w:ascii="Times New Roman"/>
                <w:b w:val="false"/>
                <w:i w:val="false"/>
                <w:color w:val="000000"/>
                <w:sz w:val="20"/>
              </w:rPr>
              <w:t>
</w:t>
            </w:r>
            <w:r>
              <w:rPr>
                <w:rFonts w:ascii="Times New Roman"/>
                <w:b w:val="false"/>
                <w:i w:val="false"/>
                <w:color w:val="000000"/>
                <w:sz w:val="20"/>
              </w:rPr>
              <w:t>Эффективная и справедливая судебная система должна стать гарантом соблюдения гражданских прав каждого казахстанца: права на жизнь, здоровье, собственность.</w:t>
            </w:r>
            <w:r>
              <w:br/>
            </w:r>
            <w:r>
              <w:rPr>
                <w:rFonts w:ascii="Times New Roman"/>
                <w:b w:val="false"/>
                <w:i w:val="false"/>
                <w:color w:val="000000"/>
                <w:sz w:val="20"/>
              </w:rPr>
              <w:t>
</w:t>
            </w:r>
            <w:r>
              <w:rPr>
                <w:rFonts w:ascii="Times New Roman"/>
                <w:b w:val="false"/>
                <w:i w:val="false"/>
                <w:color w:val="000000"/>
                <w:sz w:val="20"/>
              </w:rPr>
              <w:t>Основные направления совершенствования уголовно-процессуального права:</w:t>
            </w:r>
            <w:r>
              <w:br/>
            </w:r>
            <w:r>
              <w:rPr>
                <w:rFonts w:ascii="Times New Roman"/>
                <w:b w:val="false"/>
                <w:i w:val="false"/>
                <w:color w:val="000000"/>
                <w:sz w:val="20"/>
              </w:rPr>
              <w:t>
</w:t>
            </w:r>
            <w:r>
              <w:rPr>
                <w:rFonts w:ascii="Times New Roman"/>
                <w:b w:val="false"/>
                <w:i w:val="false"/>
                <w:color w:val="000000"/>
                <w:sz w:val="20"/>
              </w:rPr>
              <w:t>упрощение и повышение эффективности уголовного процесса;</w:t>
            </w:r>
            <w:r>
              <w:br/>
            </w:r>
            <w:r>
              <w:rPr>
                <w:rFonts w:ascii="Times New Roman"/>
                <w:b w:val="false"/>
                <w:i w:val="false"/>
                <w:color w:val="000000"/>
                <w:sz w:val="20"/>
              </w:rPr>
              <w:t>
</w:t>
            </w:r>
            <w:r>
              <w:rPr>
                <w:rFonts w:ascii="Times New Roman"/>
                <w:b w:val="false"/>
                <w:i w:val="false"/>
                <w:color w:val="000000"/>
                <w:sz w:val="20"/>
              </w:rPr>
              <w:t>создание условий для расширения применения мер пресечения, альтернативных аресту, в том числе залога;</w:t>
            </w:r>
            <w:r>
              <w:br/>
            </w:r>
            <w:r>
              <w:rPr>
                <w:rFonts w:ascii="Times New Roman"/>
                <w:b w:val="false"/>
                <w:i w:val="false"/>
                <w:color w:val="000000"/>
                <w:sz w:val="20"/>
              </w:rPr>
              <w:t>
</w:t>
            </w:r>
            <w:r>
              <w:rPr>
                <w:rFonts w:ascii="Times New Roman"/>
                <w:b w:val="false"/>
                <w:i w:val="false"/>
                <w:color w:val="000000"/>
                <w:sz w:val="20"/>
              </w:rPr>
              <w:t>возможность расширения категорий уголовных дел, по которым уголовное преследование и обвинение в суде могут осуществляться в частном, а также частно-публичном порядке;</w:t>
            </w:r>
            <w:r>
              <w:br/>
            </w:r>
            <w:r>
              <w:rPr>
                <w:rFonts w:ascii="Times New Roman"/>
                <w:b w:val="false"/>
                <w:i w:val="false"/>
                <w:color w:val="000000"/>
                <w:sz w:val="20"/>
              </w:rPr>
              <w:t>
</w:t>
            </w:r>
            <w:r>
              <w:rPr>
                <w:rFonts w:ascii="Times New Roman"/>
                <w:b w:val="false"/>
                <w:i w:val="false"/>
                <w:color w:val="000000"/>
                <w:sz w:val="20"/>
              </w:rPr>
              <w:t>постепенное расширение категорий уголовных дел, рассматриваемых судом с участием присяжных заседателей;</w:t>
            </w:r>
            <w:r>
              <w:br/>
            </w:r>
            <w:r>
              <w:rPr>
                <w:rFonts w:ascii="Times New Roman"/>
                <w:b w:val="false"/>
                <w:i w:val="false"/>
                <w:color w:val="000000"/>
                <w:sz w:val="20"/>
              </w:rPr>
              <w:t>
</w:t>
            </w:r>
            <w:r>
              <w:rPr>
                <w:rFonts w:ascii="Times New Roman"/>
                <w:b w:val="false"/>
                <w:i w:val="false"/>
                <w:color w:val="000000"/>
                <w:sz w:val="20"/>
              </w:rPr>
              <w:t>дальнейшее совершенствование механизмов предоставления квалифицированной юридической помощи по уголовным делам не только обвиняемым и подозреваемым, но и потерпевшим, свидетелям.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законопроекта в Правительство до 20 июня 2013 года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уголовно-исполнительного законодательства</w:t>
            </w:r>
            <w:r>
              <w:br/>
            </w:r>
            <w:r>
              <w:rPr>
                <w:rFonts w:ascii="Times New Roman"/>
                <w:b w:val="false"/>
                <w:i w:val="false"/>
                <w:color w:val="000000"/>
                <w:sz w:val="20"/>
              </w:rPr>
              <w:t>
</w:t>
            </w:r>
            <w:r>
              <w:rPr>
                <w:rFonts w:ascii="Times New Roman"/>
                <w:b w:val="false"/>
                <w:i w:val="false"/>
                <w:color w:val="000000"/>
                <w:sz w:val="20"/>
              </w:rPr>
              <w:t>В целях минимизации вовлечения граждан в сферу уголовной юстиции, экономии мер уголовной репрессии необходимо создать условия для более широкого применения уголовно-правовых мер, не связанных с изоляцией от общества.</w:t>
            </w:r>
            <w:r>
              <w:br/>
            </w:r>
            <w:r>
              <w:rPr>
                <w:rFonts w:ascii="Times New Roman"/>
                <w:b w:val="false"/>
                <w:i w:val="false"/>
                <w:color w:val="000000"/>
                <w:sz w:val="20"/>
              </w:rPr>
              <w:t>
</w:t>
            </w:r>
            <w:r>
              <w:rPr>
                <w:rFonts w:ascii="Times New Roman"/>
                <w:b w:val="false"/>
                <w:i w:val="false"/>
                <w:color w:val="000000"/>
                <w:sz w:val="20"/>
              </w:rPr>
              <w:t>Учитывая, что лишение свободы все еще остается основным видом уголовного наказания, необходимо принимать меры, повышающие воспитательный компонент лишения свободы, в котором пока преобладает компонент кары. В частности, необходимо дальнейшее развитие содержания, форм и методов исправительно-воспитательного воздействия на осужденных на основе принципа индивидуализации исполнения наказания.</w:t>
            </w:r>
            <w:r>
              <w:br/>
            </w:r>
            <w:r>
              <w:rPr>
                <w:rFonts w:ascii="Times New Roman"/>
                <w:b w:val="false"/>
                <w:i w:val="false"/>
                <w:color w:val="000000"/>
                <w:sz w:val="20"/>
              </w:rPr>
              <w:t>
</w:t>
            </w:r>
            <w:r>
              <w:rPr>
                <w:rFonts w:ascii="Times New Roman"/>
                <w:b w:val="false"/>
                <w:i w:val="false"/>
                <w:color w:val="000000"/>
                <w:sz w:val="20"/>
              </w:rPr>
              <w:t>Актуальным является решение проблем занятости осужденных к лишению свободы путем привлечения их к общественно-полезному труду и/или обучению, социальным программам ресоциализации, в том числе антинаркотического, антиалкогольного содержания либо иными формами социально-активной деятельности.</w:t>
            </w:r>
            <w:r>
              <w:br/>
            </w:r>
            <w:r>
              <w:rPr>
                <w:rFonts w:ascii="Times New Roman"/>
                <w:b w:val="false"/>
                <w:i w:val="false"/>
                <w:color w:val="000000"/>
                <w:sz w:val="20"/>
              </w:rPr>
              <w:t>
</w:t>
            </w:r>
            <w:r>
              <w:rPr>
                <w:rFonts w:ascii="Times New Roman"/>
                <w:b w:val="false"/>
                <w:i w:val="false"/>
                <w:color w:val="000000"/>
                <w:sz w:val="20"/>
              </w:rPr>
              <w:t>Наряду с сохранением и обеспечением высоких требований к дисциплине и порядку в учреждениях уголовно-исполнительной системы необходимо усилить меры по психолого-педагогическому обеспечению процесса исполнения, (отбывания) уголовных наказаний, повышению статуса и обеспечению социально-правовой защиты персонала уголовно-исполнительной системы.</w:t>
            </w:r>
            <w:r>
              <w:br/>
            </w:r>
            <w:r>
              <w:rPr>
                <w:rFonts w:ascii="Times New Roman"/>
                <w:b w:val="false"/>
                <w:i w:val="false"/>
                <w:color w:val="000000"/>
                <w:sz w:val="20"/>
              </w:rPr>
              <w:t>
</w:t>
            </w:r>
            <w:r>
              <w:rPr>
                <w:rFonts w:ascii="Times New Roman"/>
                <w:b w:val="false"/>
                <w:i w:val="false"/>
                <w:color w:val="000000"/>
                <w:sz w:val="20"/>
              </w:rPr>
              <w:t>Наряду с этим для мест лишения свободы важным являются обеспечение безопасности личности, соблюдение прав и законных интересов лиц, отбывающих данный вид наказания. В числе наиболее перспективных направлений в этой сфере необходим постепенный переход к камерному порядку содержания, при котором осужденный, имея в дневное время возможность передвижения и межличностного общения в пределах учреждения, в ночное время был бы изолирован в отдельном помещении.</w:t>
            </w:r>
            <w:r>
              <w:br/>
            </w:r>
            <w:r>
              <w:rPr>
                <w:rFonts w:ascii="Times New Roman"/>
                <w:b w:val="false"/>
                <w:i w:val="false"/>
                <w:color w:val="000000"/>
                <w:sz w:val="20"/>
              </w:rPr>
              <w:t>
</w:t>
            </w:r>
            <w:r>
              <w:rPr>
                <w:rFonts w:ascii="Times New Roman"/>
                <w:b w:val="false"/>
                <w:i w:val="false"/>
                <w:color w:val="000000"/>
                <w:sz w:val="20"/>
              </w:rPr>
              <w:t>Сохранению баланса между интересами общества и государства по наказанию виновных и соблюдению их прав и законных интересов в период отбывания наказания способствуют установленные механизмы общественного контроля, развитию которых необходимо уделить внимание.</w:t>
            </w:r>
            <w:r>
              <w:br/>
            </w:r>
            <w:r>
              <w:rPr>
                <w:rFonts w:ascii="Times New Roman"/>
                <w:b w:val="false"/>
                <w:i w:val="false"/>
                <w:color w:val="000000"/>
                <w:sz w:val="20"/>
              </w:rPr>
              <w:t>
</w:t>
            </w:r>
            <w:r>
              <w:rPr>
                <w:rFonts w:ascii="Times New Roman"/>
                <w:b w:val="false"/>
                <w:i w:val="false"/>
                <w:color w:val="000000"/>
                <w:sz w:val="20"/>
              </w:rPr>
              <w:t>Также важным является повышение качества медицинского обслуживания лиц, находящихся в местах лишения свободы, особенно системы профилактики заболеваний лиц, отбывающих уголовное наказание.</w:t>
            </w:r>
            <w:r>
              <w:br/>
            </w:r>
            <w:r>
              <w:rPr>
                <w:rFonts w:ascii="Times New Roman"/>
                <w:b w:val="false"/>
                <w:i w:val="false"/>
                <w:color w:val="000000"/>
                <w:sz w:val="20"/>
              </w:rPr>
              <w:t>
</w:t>
            </w:r>
            <w:r>
              <w:rPr>
                <w:rFonts w:ascii="Times New Roman"/>
                <w:b w:val="false"/>
                <w:i w:val="false"/>
                <w:color w:val="000000"/>
                <w:sz w:val="20"/>
              </w:rPr>
              <w:t>Необходимы системные меры, направленные на обеспечение целенаправленной государственной политики в сфере ресоциализации граждан, освободившихся из мест лишения свободы, как полноправных членов общества.</w:t>
            </w:r>
            <w:r>
              <w:br/>
            </w:r>
            <w:r>
              <w:rPr>
                <w:rFonts w:ascii="Times New Roman"/>
                <w:b w:val="false"/>
                <w:i w:val="false"/>
                <w:color w:val="000000"/>
                <w:sz w:val="20"/>
              </w:rPr>
              <w:t>
</w:t>
            </w:r>
            <w:r>
              <w:rPr>
                <w:rFonts w:ascii="Times New Roman"/>
                <w:b w:val="false"/>
                <w:i w:val="false"/>
                <w:color w:val="000000"/>
                <w:sz w:val="20"/>
              </w:rPr>
              <w:t>В целом систему исполнения уголовных наказаний следует и дальше приближать к общепризнанным международным стандартам.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законопроекта в Правительство до 20 июня 2013 года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административно-деликтного законодательства</w:t>
            </w:r>
            <w:r>
              <w:br/>
            </w:r>
            <w:r>
              <w:rPr>
                <w:rFonts w:ascii="Times New Roman"/>
                <w:b w:val="false"/>
                <w:i w:val="false"/>
                <w:color w:val="000000"/>
                <w:sz w:val="20"/>
              </w:rPr>
              <w:t>
</w:t>
            </w:r>
            <w:r>
              <w:rPr>
                <w:rFonts w:ascii="Times New Roman"/>
                <w:b w:val="false"/>
                <w:i w:val="false"/>
                <w:color w:val="000000"/>
                <w:sz w:val="20"/>
              </w:rPr>
              <w:t>В основе обновления административного законодательства должно лежать признание конституционных норм о правах и свободах человека и гражданина непосредственно действующим законодательством, определяющим смысл, содержание и применение законов.</w:t>
            </w:r>
            <w:r>
              <w:br/>
            </w:r>
            <w:r>
              <w:rPr>
                <w:rFonts w:ascii="Times New Roman"/>
                <w:b w:val="false"/>
                <w:i w:val="false"/>
                <w:color w:val="000000"/>
                <w:sz w:val="20"/>
              </w:rPr>
              <w:t>
</w:t>
            </w:r>
            <w:r>
              <w:rPr>
                <w:rFonts w:ascii="Times New Roman"/>
                <w:b w:val="false"/>
                <w:i w:val="false"/>
                <w:color w:val="000000"/>
                <w:sz w:val="20"/>
              </w:rPr>
              <w:t>Законодательство об административных правонарушениях должно быть максимально направлено на восстановление нарушенных прав, предупреждение правовых конфликтов в обществе административно-правовыми мерами. При этом при формировании административно-правовых санкций должен неукоснительно соблюдаться принцип их соразмерности степени общественной опасности и характеру правонарушения.</w:t>
            </w:r>
            <w:r>
              <w:br/>
            </w:r>
            <w:r>
              <w:rPr>
                <w:rFonts w:ascii="Times New Roman"/>
                <w:b w:val="false"/>
                <w:i w:val="false"/>
                <w:color w:val="000000"/>
                <w:sz w:val="20"/>
              </w:rPr>
              <w:t>
</w:t>
            </w:r>
            <w:r>
              <w:rPr>
                <w:rFonts w:ascii="Times New Roman"/>
                <w:b w:val="false"/>
                <w:i w:val="false"/>
                <w:color w:val="000000"/>
                <w:sz w:val="20"/>
              </w:rPr>
              <w:t>Следует выработать четкую концепцию разграничения полномочий между судом и внесудебными инстанциями по рассмотрению дел об административных правонарушениях, то есть о соотношении судебного и внесудебного порядка рассмотрения административных дел. При этом остается актуальным тезис о возможности расширения полномочии суда по наложению административных взысканий, а также развития принципа состязательности в административном судопроизводстве.</w:t>
            </w:r>
            <w:r>
              <w:br/>
            </w:r>
            <w:r>
              <w:rPr>
                <w:rFonts w:ascii="Times New Roman"/>
                <w:b w:val="false"/>
                <w:i w:val="false"/>
                <w:color w:val="000000"/>
                <w:sz w:val="20"/>
              </w:rPr>
              <w:t>
</w:t>
            </w:r>
            <w:r>
              <w:rPr>
                <w:rFonts w:ascii="Times New Roman"/>
                <w:b w:val="false"/>
                <w:i w:val="false"/>
                <w:color w:val="000000"/>
                <w:sz w:val="20"/>
              </w:rPr>
              <w:t>Для административно-деликтного права являются злободневными вопросы более четкого определения круга правоотношений, охраняемых административно-деликтным законодательством, и соответственно более четкого разграничения между административно-правовыми и уголовно-правовыми санкциями.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законопроекта в Правительство до 1 октября 2013 года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административно-процессуального законодательства</w:t>
            </w:r>
            <w:r>
              <w:br/>
            </w:r>
            <w:r>
              <w:rPr>
                <w:rFonts w:ascii="Times New Roman"/>
                <w:b w:val="false"/>
                <w:i w:val="false"/>
                <w:color w:val="000000"/>
                <w:sz w:val="20"/>
              </w:rPr>
              <w:t>
</w:t>
            </w:r>
            <w:r>
              <w:rPr>
                <w:rFonts w:ascii="Times New Roman"/>
                <w:b w:val="false"/>
                <w:i w:val="false"/>
                <w:color w:val="000000"/>
                <w:sz w:val="20"/>
              </w:rPr>
              <w:t>Следует четко определиться с предметом регулирования административно-процессуального законодательства.</w:t>
            </w:r>
            <w:r>
              <w:br/>
            </w:r>
            <w:r>
              <w:rPr>
                <w:rFonts w:ascii="Times New Roman"/>
                <w:b w:val="false"/>
                <w:i w:val="false"/>
                <w:color w:val="000000"/>
                <w:sz w:val="20"/>
              </w:rPr>
              <w:t>
</w:t>
            </w:r>
            <w:r>
              <w:rPr>
                <w:rFonts w:ascii="Times New Roman"/>
                <w:b w:val="false"/>
                <w:i w:val="false"/>
                <w:color w:val="000000"/>
                <w:sz w:val="20"/>
              </w:rPr>
              <w:t>В контексте развития административно-процессуального права следует рассматривать вопрос об административной юстиции, разрешающей споры о праве, возникающие из публично-правовых отношений между государством и гражданином (организацией). То есть подлежит рассмотрению вопрос процессуального обособления и легитимации порядка разрешения конфликтов публично-правового характера.</w:t>
            </w:r>
            <w:r>
              <w:br/>
            </w:r>
            <w:r>
              <w:rPr>
                <w:rFonts w:ascii="Times New Roman"/>
                <w:b w:val="false"/>
                <w:i w:val="false"/>
                <w:color w:val="000000"/>
                <w:sz w:val="20"/>
              </w:rPr>
              <w:t>
</w:t>
            </w:r>
            <w:r>
              <w:rPr>
                <w:rFonts w:ascii="Times New Roman"/>
                <w:b w:val="false"/>
                <w:i w:val="false"/>
                <w:color w:val="000000"/>
                <w:sz w:val="20"/>
              </w:rPr>
              <w:t>Таким образом, административное судопроизводство должно стать полноправной формой осуществления правосудия, наряду с уголовным и гражданским судопроизводством.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законопроекта на заседание Межведомственной комиссии по вопросам законопроектной деятельности при Правительстве Республики Казахстан до 1 февраля 2013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2014 - 2015 годы (4 сессия) гражданско-правовой блок законодательства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гражданского законодательства</w:t>
            </w:r>
            <w:r>
              <w:br/>
            </w:r>
            <w:r>
              <w:rPr>
                <w:rFonts w:ascii="Times New Roman"/>
                <w:b w:val="false"/>
                <w:i w:val="false"/>
                <w:color w:val="000000"/>
                <w:sz w:val="20"/>
              </w:rPr>
              <w:t>
</w:t>
            </w:r>
            <w:r>
              <w:rPr>
                <w:rFonts w:ascii="Times New Roman"/>
                <w:b w:val="false"/>
                <w:i w:val="false"/>
                <w:color w:val="000000"/>
                <w:sz w:val="20"/>
              </w:rPr>
              <w:t>На современном этапе развития гражданского права на первое место выдвигаются проблемы соотношения публично-правовых и частноправовых методов регулирования общественных отношений, и как производное от этого - пределы государственного вмешательства в частнопредпринимательскую деятельность.</w:t>
            </w:r>
            <w:r>
              <w:br/>
            </w:r>
            <w:r>
              <w:rPr>
                <w:rFonts w:ascii="Times New Roman"/>
                <w:b w:val="false"/>
                <w:i w:val="false"/>
                <w:color w:val="000000"/>
                <w:sz w:val="20"/>
              </w:rPr>
              <w:t>
</w:t>
            </w:r>
            <w:r>
              <w:rPr>
                <w:rFonts w:ascii="Times New Roman"/>
                <w:b w:val="false"/>
                <w:i w:val="false"/>
                <w:color w:val="000000"/>
                <w:sz w:val="20"/>
              </w:rPr>
              <w:t>В связи с чем, совершенствование гражданского законодательства будет продолжено по направлениям:</w:t>
            </w:r>
            <w:r>
              <w:br/>
            </w:r>
            <w:r>
              <w:rPr>
                <w:rFonts w:ascii="Times New Roman"/>
                <w:b w:val="false"/>
                <w:i w:val="false"/>
                <w:color w:val="000000"/>
                <w:sz w:val="20"/>
              </w:rPr>
              <w:t>
</w:t>
            </w:r>
            <w:r>
              <w:rPr>
                <w:rFonts w:ascii="Times New Roman"/>
                <w:b w:val="false"/>
                <w:i w:val="false"/>
                <w:color w:val="000000"/>
                <w:sz w:val="20"/>
              </w:rPr>
              <w:t>1) уточнения понятия сделок, их состава и последствий неисполнения сделок;</w:t>
            </w:r>
            <w:r>
              <w:br/>
            </w:r>
            <w:r>
              <w:rPr>
                <w:rFonts w:ascii="Times New Roman"/>
                <w:b w:val="false"/>
                <w:i w:val="false"/>
                <w:color w:val="000000"/>
                <w:sz w:val="20"/>
              </w:rPr>
              <w:t>
</w:t>
            </w:r>
            <w:r>
              <w:rPr>
                <w:rFonts w:ascii="Times New Roman"/>
                <w:b w:val="false"/>
                <w:i w:val="false"/>
                <w:color w:val="000000"/>
                <w:sz w:val="20"/>
              </w:rPr>
              <w:t>2) совершенствования института признания сделок недействительными;</w:t>
            </w:r>
            <w:r>
              <w:br/>
            </w:r>
            <w:r>
              <w:rPr>
                <w:rFonts w:ascii="Times New Roman"/>
                <w:b w:val="false"/>
                <w:i w:val="false"/>
                <w:color w:val="000000"/>
                <w:sz w:val="20"/>
              </w:rPr>
              <w:t>
</w:t>
            </w:r>
            <w:r>
              <w:rPr>
                <w:rFonts w:ascii="Times New Roman"/>
                <w:b w:val="false"/>
                <w:i w:val="false"/>
                <w:color w:val="000000"/>
                <w:sz w:val="20"/>
              </w:rPr>
              <w:t>3) определения понятия «аффилированные сделки»;</w:t>
            </w:r>
            <w:r>
              <w:br/>
            </w:r>
            <w:r>
              <w:rPr>
                <w:rFonts w:ascii="Times New Roman"/>
                <w:b w:val="false"/>
                <w:i w:val="false"/>
                <w:color w:val="000000"/>
                <w:sz w:val="20"/>
              </w:rPr>
              <w:t>
</w:t>
            </w:r>
            <w:r>
              <w:rPr>
                <w:rFonts w:ascii="Times New Roman"/>
                <w:b w:val="false"/>
                <w:i w:val="false"/>
                <w:color w:val="000000"/>
                <w:sz w:val="20"/>
              </w:rPr>
              <w:t xml:space="preserve">4) фиксации в </w:t>
            </w:r>
            <w:r>
              <w:rPr>
                <w:rFonts w:ascii="Times New Roman"/>
                <w:b w:val="false"/>
                <w:i w:val="false"/>
                <w:color w:val="000000"/>
                <w:sz w:val="20"/>
              </w:rPr>
              <w:t>Гражданском кодексе</w:t>
            </w:r>
            <w:r>
              <w:rPr>
                <w:rFonts w:ascii="Times New Roman"/>
                <w:b w:val="false"/>
                <w:i w:val="false"/>
                <w:color w:val="000000"/>
                <w:sz w:val="20"/>
              </w:rPr>
              <w:t xml:space="preserve"> всего спектра ценных бумаг;</w:t>
            </w:r>
            <w:r>
              <w:br/>
            </w:r>
            <w:r>
              <w:rPr>
                <w:rFonts w:ascii="Times New Roman"/>
                <w:b w:val="false"/>
                <w:i w:val="false"/>
                <w:color w:val="000000"/>
                <w:sz w:val="20"/>
              </w:rPr>
              <w:t>
</w:t>
            </w:r>
            <w:r>
              <w:rPr>
                <w:rFonts w:ascii="Times New Roman"/>
                <w:b w:val="false"/>
                <w:i w:val="false"/>
                <w:color w:val="000000"/>
                <w:sz w:val="20"/>
              </w:rPr>
              <w:t>5) определения понятий «отказ от права» и «отказ от осуществления права»;</w:t>
            </w:r>
            <w:r>
              <w:br/>
            </w:r>
            <w:r>
              <w:rPr>
                <w:rFonts w:ascii="Times New Roman"/>
                <w:b w:val="false"/>
                <w:i w:val="false"/>
                <w:color w:val="000000"/>
                <w:sz w:val="20"/>
              </w:rPr>
              <w:t>
</w:t>
            </w:r>
            <w:r>
              <w:rPr>
                <w:rFonts w:ascii="Times New Roman"/>
                <w:b w:val="false"/>
                <w:i w:val="false"/>
                <w:color w:val="000000"/>
                <w:sz w:val="20"/>
              </w:rPr>
              <w:t>6) определения статуса акционерных обществ с учетом их правовой природы, в том числе в контексте так называемых «публичных корпораций»;</w:t>
            </w:r>
            <w:r>
              <w:br/>
            </w:r>
            <w:r>
              <w:rPr>
                <w:rFonts w:ascii="Times New Roman"/>
                <w:b w:val="false"/>
                <w:i w:val="false"/>
                <w:color w:val="000000"/>
                <w:sz w:val="20"/>
              </w:rPr>
              <w:t>
</w:t>
            </w:r>
            <w:r>
              <w:rPr>
                <w:rFonts w:ascii="Times New Roman"/>
                <w:b w:val="false"/>
                <w:i w:val="false"/>
                <w:color w:val="000000"/>
                <w:sz w:val="20"/>
              </w:rPr>
              <w:t>7) участия государства в гражданско-правовых отношениях и отказа от иммунитета в сфере частноправовых отношений при сохранении иммунитета государства в области осуществления им публичных функций;</w:t>
            </w:r>
            <w:r>
              <w:br/>
            </w:r>
            <w:r>
              <w:rPr>
                <w:rFonts w:ascii="Times New Roman"/>
                <w:b w:val="false"/>
                <w:i w:val="false"/>
                <w:color w:val="000000"/>
                <w:sz w:val="20"/>
              </w:rPr>
              <w:t>
</w:t>
            </w:r>
            <w:r>
              <w:rPr>
                <w:rFonts w:ascii="Times New Roman"/>
                <w:b w:val="false"/>
                <w:i w:val="false"/>
                <w:color w:val="000000"/>
                <w:sz w:val="20"/>
              </w:rPr>
              <w:t>8) расширения видов вещных прав, включив понятие сервитута;</w:t>
            </w:r>
            <w:r>
              <w:br/>
            </w:r>
            <w:r>
              <w:rPr>
                <w:rFonts w:ascii="Times New Roman"/>
                <w:b w:val="false"/>
                <w:i w:val="false"/>
                <w:color w:val="000000"/>
                <w:sz w:val="20"/>
              </w:rPr>
              <w:t>
</w:t>
            </w:r>
            <w:r>
              <w:rPr>
                <w:rFonts w:ascii="Times New Roman"/>
                <w:b w:val="false"/>
                <w:i w:val="false"/>
                <w:color w:val="000000"/>
                <w:sz w:val="20"/>
              </w:rPr>
              <w:t>9) расширения оснований возникновения вещных прав с определением режима использования их отдельных видов;</w:t>
            </w:r>
            <w:r>
              <w:br/>
            </w:r>
            <w:r>
              <w:rPr>
                <w:rFonts w:ascii="Times New Roman"/>
                <w:b w:val="false"/>
                <w:i w:val="false"/>
                <w:color w:val="000000"/>
                <w:sz w:val="20"/>
              </w:rPr>
              <w:t>
</w:t>
            </w:r>
            <w:r>
              <w:rPr>
                <w:rFonts w:ascii="Times New Roman"/>
                <w:b w:val="false"/>
                <w:i w:val="false"/>
                <w:color w:val="000000"/>
                <w:sz w:val="20"/>
              </w:rPr>
              <w:t>10) установления порядка определения реального ущерба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законопроекта на заседание Межведомственной комиссии по вопросам законопроектной деятельности при Правительстве Республики Казахстан до 1 сентября 2013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2015 - 2016 годы (5 сессия) блоки природоохранного законодательства, законодательства в сфере естественных монополий</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Противодействие коррупции</w:t>
            </w:r>
            <w:r>
              <w:br/>
            </w:r>
            <w:r>
              <w:rPr>
                <w:rFonts w:ascii="Times New Roman"/>
                <w:b w:val="false"/>
                <w:i w:val="false"/>
                <w:color w:val="000000"/>
                <w:sz w:val="20"/>
              </w:rPr>
              <w:t>
</w:t>
            </w:r>
            <w:r>
              <w:rPr>
                <w:rFonts w:ascii="Times New Roman"/>
                <w:b w:val="false"/>
                <w:i w:val="false"/>
                <w:color w:val="000000"/>
                <w:sz w:val="20"/>
              </w:rPr>
              <w:t>Рассматривается противодействие коррупции как один из самых важных приоритетов в работе каждого государственного органа страны. Совместными усилиями государства и общества необходимо бороться не с последствиями, а минимизировать условия и причины, порождающие коррупцию.</w:t>
            </w:r>
            <w:r>
              <w:br/>
            </w:r>
            <w:r>
              <w:rPr>
                <w:rFonts w:ascii="Times New Roman"/>
                <w:b w:val="false"/>
                <w:i w:val="false"/>
                <w:color w:val="000000"/>
                <w:sz w:val="20"/>
              </w:rPr>
              <w:t>
</w:t>
            </w:r>
            <w:r>
              <w:rPr>
                <w:rFonts w:ascii="Times New Roman"/>
                <w:b w:val="false"/>
                <w:i w:val="false"/>
                <w:color w:val="000000"/>
                <w:sz w:val="20"/>
              </w:rPr>
              <w:t>Для достижения этих целей необходимо добиться решения следующих задач:</w:t>
            </w:r>
            <w:r>
              <w:br/>
            </w:r>
            <w:r>
              <w:rPr>
                <w:rFonts w:ascii="Times New Roman"/>
                <w:b w:val="false"/>
                <w:i w:val="false"/>
                <w:color w:val="000000"/>
                <w:sz w:val="20"/>
              </w:rPr>
              <w:t>
</w:t>
            </w:r>
            <w:r>
              <w:rPr>
                <w:rFonts w:ascii="Times New Roman"/>
                <w:b w:val="false"/>
                <w:i w:val="false"/>
                <w:color w:val="000000"/>
                <w:sz w:val="20"/>
              </w:rPr>
              <w:t>обеспечение защиты прав, свобод и законных интересов граждан и общества от коррупции;</w:t>
            </w:r>
            <w:r>
              <w:br/>
            </w:r>
            <w:r>
              <w:rPr>
                <w:rFonts w:ascii="Times New Roman"/>
                <w:b w:val="false"/>
                <w:i w:val="false"/>
                <w:color w:val="000000"/>
                <w:sz w:val="20"/>
              </w:rPr>
              <w:t>
</w:t>
            </w:r>
            <w:r>
              <w:rPr>
                <w:rFonts w:ascii="Times New Roman"/>
                <w:b w:val="false"/>
                <w:i w:val="false"/>
                <w:color w:val="000000"/>
                <w:sz w:val="20"/>
              </w:rPr>
              <w:t>обеспечение открытости и прозрачности деятельности государственных органов и органов местного самоуправления, а также введение общедоступных и эффективных процедур информирования общественности по вопросам коррупции;</w:t>
            </w:r>
            <w:r>
              <w:br/>
            </w:r>
            <w:r>
              <w:rPr>
                <w:rFonts w:ascii="Times New Roman"/>
                <w:b w:val="false"/>
                <w:i w:val="false"/>
                <w:color w:val="000000"/>
                <w:sz w:val="20"/>
              </w:rPr>
              <w:t>
</w:t>
            </w:r>
            <w:r>
              <w:rPr>
                <w:rFonts w:ascii="Times New Roman"/>
                <w:b w:val="false"/>
                <w:i w:val="false"/>
                <w:color w:val="000000"/>
                <w:sz w:val="20"/>
              </w:rPr>
              <w:t>формирование антикоррупционного мировоззрения, атмосферы общественного неприятия коррупции, правовой культуры во всех сферах жизнедеятельности общества;</w:t>
            </w:r>
            <w:r>
              <w:br/>
            </w:r>
            <w:r>
              <w:rPr>
                <w:rFonts w:ascii="Times New Roman"/>
                <w:b w:val="false"/>
                <w:i w:val="false"/>
                <w:color w:val="000000"/>
                <w:sz w:val="20"/>
              </w:rPr>
              <w:t>
</w:t>
            </w:r>
            <w:r>
              <w:rPr>
                <w:rFonts w:ascii="Times New Roman"/>
                <w:b w:val="false"/>
                <w:i w:val="false"/>
                <w:color w:val="000000"/>
                <w:sz w:val="20"/>
              </w:rPr>
              <w:t>внедрение международных стандартов и совершенствование национального законодательства по противодействию коррупции;</w:t>
            </w:r>
            <w:r>
              <w:br/>
            </w:r>
            <w:r>
              <w:rPr>
                <w:rFonts w:ascii="Times New Roman"/>
                <w:b w:val="false"/>
                <w:i w:val="false"/>
                <w:color w:val="000000"/>
                <w:sz w:val="20"/>
              </w:rPr>
              <w:t>
</w:t>
            </w:r>
            <w:r>
              <w:rPr>
                <w:rFonts w:ascii="Times New Roman"/>
                <w:b w:val="false"/>
                <w:i w:val="false"/>
                <w:color w:val="000000"/>
                <w:sz w:val="20"/>
              </w:rPr>
              <w:t>функционирование эффективного механизма предупреждения коррупции, включая совершенствование государственного управления;</w:t>
            </w:r>
            <w:r>
              <w:br/>
            </w:r>
            <w:r>
              <w:rPr>
                <w:rFonts w:ascii="Times New Roman"/>
                <w:b w:val="false"/>
                <w:i w:val="false"/>
                <w:color w:val="000000"/>
                <w:sz w:val="20"/>
              </w:rPr>
              <w:t>
</w:t>
            </w:r>
            <w:r>
              <w:rPr>
                <w:rFonts w:ascii="Times New Roman"/>
                <w:b w:val="false"/>
                <w:i w:val="false"/>
                <w:color w:val="000000"/>
                <w:sz w:val="20"/>
              </w:rPr>
              <w:t>повышение профессионального уровня и социального престижа государственной службы и совершенствование кадровой работы;</w:t>
            </w:r>
            <w:r>
              <w:br/>
            </w:r>
            <w:r>
              <w:rPr>
                <w:rFonts w:ascii="Times New Roman"/>
                <w:b w:val="false"/>
                <w:i w:val="false"/>
                <w:color w:val="000000"/>
                <w:sz w:val="20"/>
              </w:rPr>
              <w:t>
</w:t>
            </w:r>
            <w:r>
              <w:rPr>
                <w:rFonts w:ascii="Times New Roman"/>
                <w:b w:val="false"/>
                <w:i w:val="false"/>
                <w:color w:val="000000"/>
                <w:sz w:val="20"/>
              </w:rPr>
              <w:t>повышение роли институтов гражданского общества и населения по противодействию коррупции;</w:t>
            </w:r>
            <w:r>
              <w:br/>
            </w:r>
            <w:r>
              <w:rPr>
                <w:rFonts w:ascii="Times New Roman"/>
                <w:b w:val="false"/>
                <w:i w:val="false"/>
                <w:color w:val="000000"/>
                <w:sz w:val="20"/>
              </w:rPr>
              <w:t>
</w:t>
            </w:r>
            <w:r>
              <w:rPr>
                <w:rFonts w:ascii="Times New Roman"/>
                <w:b w:val="false"/>
                <w:i w:val="false"/>
                <w:color w:val="000000"/>
                <w:sz w:val="20"/>
              </w:rPr>
              <w:t>усиление парламентского, общественного и партийного контроля за деятельностью государственных органов и органов местного самоуправления;</w:t>
            </w:r>
            <w:r>
              <w:br/>
            </w:r>
            <w:r>
              <w:rPr>
                <w:rFonts w:ascii="Times New Roman"/>
                <w:b w:val="false"/>
                <w:i w:val="false"/>
                <w:color w:val="000000"/>
                <w:sz w:val="20"/>
              </w:rPr>
              <w:t>
</w:t>
            </w:r>
            <w:r>
              <w:rPr>
                <w:rFonts w:ascii="Times New Roman"/>
                <w:b w:val="false"/>
                <w:i w:val="false"/>
                <w:color w:val="000000"/>
                <w:sz w:val="20"/>
              </w:rPr>
              <w:t>предупреждение корпоративной коррупции, возникновения коллизии интересов и поощрение добросовестной коммерческой практики в договорных отношениях между предприятиями и государством.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законопроекта на заседание Межведомственной комиссии по вопросам законопроектной деятельности при Правительстве Республики Казахстан до 1 сентября 2015 года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Развитие и дальнейшее совершенствование природоохранного законодательства</w:t>
            </w:r>
            <w:r>
              <w:br/>
            </w:r>
            <w:r>
              <w:rPr>
                <w:rFonts w:ascii="Times New Roman"/>
                <w:b w:val="false"/>
                <w:i w:val="false"/>
                <w:color w:val="000000"/>
                <w:sz w:val="20"/>
              </w:rPr>
              <w:t>
</w:t>
            </w:r>
            <w:r>
              <w:rPr>
                <w:rFonts w:ascii="Times New Roman"/>
                <w:b w:val="false"/>
                <w:i w:val="false"/>
                <w:color w:val="000000"/>
                <w:sz w:val="20"/>
              </w:rPr>
              <w:t>Действующее экологическое законодательство, основанное на традиционной экономической модели, не в полной мере учитывает современные риски: неэффективное использование энергетических, водных, продовольственных и сырьевых ресурсов, увеличение затрат, зависимость от глобальной финансовой нестабильности и др.</w:t>
            </w:r>
            <w:r>
              <w:br/>
            </w:r>
            <w:r>
              <w:rPr>
                <w:rFonts w:ascii="Times New Roman"/>
                <w:b w:val="false"/>
                <w:i w:val="false"/>
                <w:color w:val="000000"/>
                <w:sz w:val="20"/>
              </w:rPr>
              <w:t>
</w:t>
            </w:r>
            <w:r>
              <w:rPr>
                <w:rFonts w:ascii="Times New Roman"/>
                <w:b w:val="false"/>
                <w:i w:val="false"/>
                <w:color w:val="000000"/>
                <w:sz w:val="20"/>
              </w:rPr>
              <w:t>Целью государственной политики в области экологического законодательства в настоящее время являются:</w:t>
            </w:r>
            <w:r>
              <w:br/>
            </w:r>
            <w:r>
              <w:rPr>
                <w:rFonts w:ascii="Times New Roman"/>
                <w:b w:val="false"/>
                <w:i w:val="false"/>
                <w:color w:val="000000"/>
                <w:sz w:val="20"/>
              </w:rPr>
              <w:t>
</w:t>
            </w:r>
            <w:r>
              <w:rPr>
                <w:rFonts w:ascii="Times New Roman"/>
                <w:b w:val="false"/>
                <w:i w:val="false"/>
                <w:color w:val="000000"/>
                <w:sz w:val="20"/>
              </w:rPr>
              <w:t>создание условий для перехода к «зеленой экономике», стимулирование энерго и водосбережения, использования «зеленых технологий» и развитие экологического туризма,</w:t>
            </w:r>
            <w:r>
              <w:br/>
            </w:r>
            <w:r>
              <w:rPr>
                <w:rFonts w:ascii="Times New Roman"/>
                <w:b w:val="false"/>
                <w:i w:val="false"/>
                <w:color w:val="000000"/>
                <w:sz w:val="20"/>
              </w:rPr>
              <w:t>
</w:t>
            </w:r>
            <w:r>
              <w:rPr>
                <w:rFonts w:ascii="Times New Roman"/>
                <w:b w:val="false"/>
                <w:i w:val="false"/>
                <w:color w:val="000000"/>
                <w:sz w:val="20"/>
              </w:rPr>
              <w:t>обеспечение защищенности интересов общества и прав личности от угроз, возникающих в результате антропогенного воздействия на окружающую среду,</w:t>
            </w:r>
            <w:r>
              <w:br/>
            </w:r>
            <w:r>
              <w:rPr>
                <w:rFonts w:ascii="Times New Roman"/>
                <w:b w:val="false"/>
                <w:i w:val="false"/>
                <w:color w:val="000000"/>
                <w:sz w:val="20"/>
              </w:rPr>
              <w:t>
</w:t>
            </w:r>
            <w:r>
              <w:rPr>
                <w:rFonts w:ascii="Times New Roman"/>
                <w:b w:val="false"/>
                <w:i w:val="false"/>
                <w:color w:val="000000"/>
                <w:sz w:val="20"/>
              </w:rPr>
              <w:t>рациональное природопользование, развитие экологических чистых производств и обеспечение экологически безопасного поведения граждан.</w:t>
            </w:r>
            <w:r>
              <w:br/>
            </w:r>
            <w:r>
              <w:rPr>
                <w:rFonts w:ascii="Times New Roman"/>
                <w:b w:val="false"/>
                <w:i w:val="false"/>
                <w:color w:val="000000"/>
                <w:sz w:val="20"/>
              </w:rPr>
              <w:t>
</w:t>
            </w:r>
            <w:r>
              <w:rPr>
                <w:rFonts w:ascii="Times New Roman"/>
                <w:b w:val="false"/>
                <w:i w:val="false"/>
                <w:color w:val="000000"/>
                <w:sz w:val="20"/>
              </w:rPr>
              <w:t>«Озеленение» большинства экономических секторов предоставит новые возможности для развития инноваций, увеличения производительности, роста конкурентоспособности и качественного роста ВВП - вместо количественного».</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законопроектов на заседание Межведомственной комиссии по вопросам законопроектной деятельности при Правительстве Республики Казахстан до 1 сентября 2014 года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законодательства в сфере естественных монополий и регулируемых рынков</w:t>
            </w:r>
            <w:r>
              <w:br/>
            </w:r>
            <w:r>
              <w:rPr>
                <w:rFonts w:ascii="Times New Roman"/>
                <w:b w:val="false"/>
                <w:i w:val="false"/>
                <w:color w:val="000000"/>
                <w:sz w:val="20"/>
              </w:rPr>
              <w:t>
</w:t>
            </w:r>
            <w:r>
              <w:rPr>
                <w:rFonts w:ascii="Times New Roman"/>
                <w:b w:val="false"/>
                <w:i w:val="false"/>
                <w:color w:val="000000"/>
                <w:sz w:val="20"/>
              </w:rPr>
              <w:t>Эффективное государственное регулирование во многом зависит от состояния нормативно-правовой базы.</w:t>
            </w:r>
            <w:r>
              <w:br/>
            </w:r>
            <w:r>
              <w:rPr>
                <w:rFonts w:ascii="Times New Roman"/>
                <w:b w:val="false"/>
                <w:i w:val="false"/>
                <w:color w:val="000000"/>
                <w:sz w:val="20"/>
              </w:rPr>
              <w:t>
</w:t>
            </w:r>
            <w:r>
              <w:rPr>
                <w:rFonts w:ascii="Times New Roman"/>
                <w:b w:val="false"/>
                <w:i w:val="false"/>
                <w:color w:val="000000"/>
                <w:sz w:val="20"/>
              </w:rPr>
              <w:t>В сфере естественных монополий государственное регулирование должно быть направлено на стимулирование финансово-хозяйственной деятельности регулируемых субъектов естественных монополий, создание условий для увеличения капитальных (инвестиционных) вложений в активы таких субъектов, мотивировать их к повышению производительности и снижению затрат, повышению качества оказываемых услуг.</w:t>
            </w:r>
            <w:r>
              <w:br/>
            </w:r>
            <w:r>
              <w:rPr>
                <w:rFonts w:ascii="Times New Roman"/>
                <w:b w:val="false"/>
                <w:i w:val="false"/>
                <w:color w:val="000000"/>
                <w:sz w:val="20"/>
              </w:rPr>
              <w:t>
</w:t>
            </w:r>
            <w:r>
              <w:rPr>
                <w:rFonts w:ascii="Times New Roman"/>
                <w:b w:val="false"/>
                <w:i w:val="false"/>
                <w:color w:val="000000"/>
                <w:sz w:val="20"/>
              </w:rPr>
              <w:t>В целях повышения эффективности деятельности, субъектов естественных монополий необходимо продолжить работу по следующим направлениям:</w:t>
            </w:r>
            <w:r>
              <w:br/>
            </w:r>
            <w:r>
              <w:rPr>
                <w:rFonts w:ascii="Times New Roman"/>
                <w:b w:val="false"/>
                <w:i w:val="false"/>
                <w:color w:val="000000"/>
                <w:sz w:val="20"/>
              </w:rPr>
              <w:t>
</w:t>
            </w:r>
            <w:r>
              <w:rPr>
                <w:rFonts w:ascii="Times New Roman"/>
                <w:b w:val="false"/>
                <w:i w:val="false"/>
                <w:color w:val="000000"/>
                <w:sz w:val="20"/>
              </w:rPr>
              <w:t>поэтапной ликвидации сверхнормативных (при их наличии) и снижение нормативных технических потерь базовых субъектов естественных монополий (далее - СЕМ) в электрических, тепловых и водохозяйственных сетях;</w:t>
            </w:r>
            <w:r>
              <w:br/>
            </w:r>
            <w:r>
              <w:rPr>
                <w:rFonts w:ascii="Times New Roman"/>
                <w:b w:val="false"/>
                <w:i w:val="false"/>
                <w:color w:val="000000"/>
                <w:sz w:val="20"/>
              </w:rPr>
              <w:t>
</w:t>
            </w:r>
            <w:r>
              <w:rPr>
                <w:rFonts w:ascii="Times New Roman"/>
                <w:b w:val="false"/>
                <w:i w:val="false"/>
                <w:color w:val="000000"/>
                <w:sz w:val="20"/>
              </w:rPr>
              <w:t>оптимизации норм расходов сырья и материалов, базовых СЕМ;</w:t>
            </w:r>
            <w:r>
              <w:br/>
            </w:r>
            <w:r>
              <w:rPr>
                <w:rFonts w:ascii="Times New Roman"/>
                <w:b w:val="false"/>
                <w:i w:val="false"/>
                <w:color w:val="000000"/>
                <w:sz w:val="20"/>
              </w:rPr>
              <w:t>
</w:t>
            </w:r>
            <w:r>
              <w:rPr>
                <w:rFonts w:ascii="Times New Roman"/>
                <w:b w:val="false"/>
                <w:i w:val="false"/>
                <w:color w:val="000000"/>
                <w:sz w:val="20"/>
              </w:rPr>
              <w:t>увеличение количества базовых СЕМ, работающих по среднесрочным или долгосрочным тарифам.</w:t>
            </w:r>
            <w:r>
              <w:br/>
            </w:r>
            <w:r>
              <w:rPr>
                <w:rFonts w:ascii="Times New Roman"/>
                <w:b w:val="false"/>
                <w:i w:val="false"/>
                <w:color w:val="000000"/>
                <w:sz w:val="20"/>
              </w:rPr>
              <w:t>
</w:t>
            </w:r>
            <w:r>
              <w:rPr>
                <w:rFonts w:ascii="Times New Roman"/>
                <w:b w:val="false"/>
                <w:i w:val="false"/>
                <w:color w:val="000000"/>
                <w:sz w:val="20"/>
              </w:rPr>
              <w:t>Государственное регулирование естественных монополий напрямую влияет на качество конкурентной среды посредством:</w:t>
            </w:r>
            <w:r>
              <w:br/>
            </w:r>
            <w:r>
              <w:rPr>
                <w:rFonts w:ascii="Times New Roman"/>
                <w:b w:val="false"/>
                <w:i w:val="false"/>
                <w:color w:val="000000"/>
                <w:sz w:val="20"/>
              </w:rPr>
              <w:t>
</w:t>
            </w:r>
            <w:r>
              <w:rPr>
                <w:rFonts w:ascii="Times New Roman"/>
                <w:b w:val="false"/>
                <w:i w:val="false"/>
                <w:color w:val="000000"/>
                <w:sz w:val="20"/>
              </w:rPr>
              <w:t>ценового (тарифного) регулирования;</w:t>
            </w:r>
            <w:r>
              <w:br/>
            </w:r>
            <w:r>
              <w:rPr>
                <w:rFonts w:ascii="Times New Roman"/>
                <w:b w:val="false"/>
                <w:i w:val="false"/>
                <w:color w:val="000000"/>
                <w:sz w:val="20"/>
              </w:rPr>
              <w:t>
</w:t>
            </w:r>
            <w:r>
              <w:rPr>
                <w:rFonts w:ascii="Times New Roman"/>
                <w:b w:val="false"/>
                <w:i w:val="false"/>
                <w:color w:val="000000"/>
                <w:sz w:val="20"/>
              </w:rPr>
              <w:t>инвестиционных программ, которые определяют технологические возможности по доступу к услугам субъектов естественных монополий;</w:t>
            </w:r>
            <w:r>
              <w:br/>
            </w:r>
            <w:r>
              <w:rPr>
                <w:rFonts w:ascii="Times New Roman"/>
                <w:b w:val="false"/>
                <w:i w:val="false"/>
                <w:color w:val="000000"/>
                <w:sz w:val="20"/>
              </w:rPr>
              <w:t>
</w:t>
            </w:r>
            <w:r>
              <w:rPr>
                <w:rFonts w:ascii="Times New Roman"/>
                <w:b w:val="false"/>
                <w:i w:val="false"/>
                <w:color w:val="000000"/>
                <w:sz w:val="20"/>
              </w:rPr>
              <w:t>регулирования доступа к услугам субъектов естественных монополий для развития эффективной конкуренции между их потребителями в соответствующих секторах, а также устранения инфраструктурных ограничений для экономики в целом.</w:t>
            </w:r>
            <w:r>
              <w:br/>
            </w:r>
            <w:r>
              <w:rPr>
                <w:rFonts w:ascii="Times New Roman"/>
                <w:b w:val="false"/>
                <w:i w:val="false"/>
                <w:color w:val="000000"/>
                <w:sz w:val="20"/>
              </w:rPr>
              <w:t>
</w:t>
            </w:r>
            <w:r>
              <w:rPr>
                <w:rFonts w:ascii="Times New Roman"/>
                <w:b w:val="false"/>
                <w:i w:val="false"/>
                <w:color w:val="000000"/>
                <w:sz w:val="20"/>
              </w:rPr>
              <w:t>Качество конкурентной среды во многом обусловлено динамикой структурных реформ естественных монополий, в ходе которых:</w:t>
            </w:r>
            <w:r>
              <w:br/>
            </w:r>
            <w:r>
              <w:rPr>
                <w:rFonts w:ascii="Times New Roman"/>
                <w:b w:val="false"/>
                <w:i w:val="false"/>
                <w:color w:val="000000"/>
                <w:sz w:val="20"/>
              </w:rPr>
              <w:t>
</w:t>
            </w:r>
            <w:r>
              <w:rPr>
                <w:rFonts w:ascii="Times New Roman"/>
                <w:b w:val="false"/>
                <w:i w:val="false"/>
                <w:color w:val="000000"/>
                <w:sz w:val="20"/>
              </w:rPr>
              <w:t>выделяются конкурентные и естественно-монопольные виды деятельности посредством структурных преобразований или раздельного учета по регулируемым и нерегулируемым видам деятельности;</w:t>
            </w:r>
            <w:r>
              <w:br/>
            </w:r>
            <w:r>
              <w:rPr>
                <w:rFonts w:ascii="Times New Roman"/>
                <w:b w:val="false"/>
                <w:i w:val="false"/>
                <w:color w:val="000000"/>
                <w:sz w:val="20"/>
              </w:rPr>
              <w:t>
</w:t>
            </w:r>
            <w:r>
              <w:rPr>
                <w:rFonts w:ascii="Times New Roman"/>
                <w:b w:val="false"/>
                <w:i w:val="false"/>
                <w:color w:val="000000"/>
                <w:sz w:val="20"/>
              </w:rPr>
              <w:t>устанавливаются рыночные правила конкурентных секторов;</w:t>
            </w:r>
            <w:r>
              <w:br/>
            </w:r>
            <w:r>
              <w:rPr>
                <w:rFonts w:ascii="Times New Roman"/>
                <w:b w:val="false"/>
                <w:i w:val="false"/>
                <w:color w:val="000000"/>
                <w:sz w:val="20"/>
              </w:rPr>
              <w:t>
</w:t>
            </w:r>
            <w:r>
              <w:rPr>
                <w:rFonts w:ascii="Times New Roman"/>
                <w:b w:val="false"/>
                <w:i w:val="false"/>
                <w:color w:val="000000"/>
                <w:sz w:val="20"/>
              </w:rPr>
              <w:t>определяются направления повышения эффективности государственного регулирования.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законопроектов на заседание Межведомственной комиссии по вопросам законопроектной деятельности при Правительстве Республики Казахстан до 1 сентября 2014 года</w:t>
            </w:r>
          </w:p>
        </w:tc>
      </w:tr>
      <w:tr>
        <w:trPr>
          <w:trHeight w:val="30" w:hRule="atLeast"/>
        </w:trPr>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правовой базы, определяющей основы государственного регулирования и контроля за деятельностью, отнесенной к государственной монополии, а также основы государственной защиты и поддержки добросовестной конкуренции.</w:t>
            </w:r>
            <w:r>
              <w:br/>
            </w:r>
            <w:r>
              <w:rPr>
                <w:rFonts w:ascii="Times New Roman"/>
                <w:b w:val="false"/>
                <w:i w:val="false"/>
                <w:color w:val="000000"/>
                <w:sz w:val="20"/>
              </w:rPr>
              <w:t>
</w:t>
            </w:r>
            <w:r>
              <w:rPr>
                <w:rFonts w:ascii="Times New Roman"/>
                <w:b w:val="false"/>
                <w:i w:val="false"/>
                <w:color w:val="000000"/>
                <w:sz w:val="20"/>
              </w:rPr>
              <w:t>Существует ряд проблем, свидетельствующих о неэффективном управлении государственными активами.</w:t>
            </w:r>
            <w:r>
              <w:br/>
            </w:r>
            <w:r>
              <w:rPr>
                <w:rFonts w:ascii="Times New Roman"/>
                <w:b w:val="false"/>
                <w:i w:val="false"/>
                <w:color w:val="000000"/>
                <w:sz w:val="20"/>
              </w:rPr>
              <w:t>
</w:t>
            </w:r>
            <w:r>
              <w:rPr>
                <w:rFonts w:ascii="Times New Roman"/>
                <w:b w:val="false"/>
                <w:i w:val="false"/>
                <w:color w:val="000000"/>
                <w:sz w:val="20"/>
              </w:rPr>
              <w:t>Большое количество государственных предприятий и юридических лиц с участием государства на рынках, где достаточно развита конкуренция (транспортные услуги, услуги сервисного характера, строительство, типографская и издательская деятельность), имеют привилегию в форме поддержки государственных органов, что создает им дополнительные преимущества в конкурентной борьбе.</w:t>
            </w:r>
            <w:r>
              <w:br/>
            </w:r>
            <w:r>
              <w:rPr>
                <w:rFonts w:ascii="Times New Roman"/>
                <w:b w:val="false"/>
                <w:i w:val="false"/>
                <w:color w:val="000000"/>
                <w:sz w:val="20"/>
              </w:rPr>
              <w:t>
</w:t>
            </w:r>
            <w:r>
              <w:rPr>
                <w:rFonts w:ascii="Times New Roman"/>
                <w:b w:val="false"/>
                <w:i w:val="false"/>
                <w:color w:val="000000"/>
                <w:sz w:val="20"/>
              </w:rPr>
              <w:t>Все это приводит к необходимости принятия мер по упорядочению деятельности государственных предприятий.</w:t>
            </w:r>
            <w:r>
              <w:br/>
            </w:r>
            <w:r>
              <w:rPr>
                <w:rFonts w:ascii="Times New Roman"/>
                <w:b w:val="false"/>
                <w:i w:val="false"/>
                <w:color w:val="000000"/>
                <w:sz w:val="20"/>
              </w:rPr>
              <w:t>
</w:t>
            </w:r>
            <w:r>
              <w:rPr>
                <w:rFonts w:ascii="Times New Roman"/>
                <w:b w:val="false"/>
                <w:i w:val="false"/>
                <w:color w:val="000000"/>
                <w:sz w:val="20"/>
              </w:rPr>
              <w:t>По-прежнему имеет место высокая монополизация сфер железнодорожного транспорта, телекоммуникаций, топливно-энергетического комплекса. Данные отрасли, являясь экономикообразующими, значительно влияют на развитие конкуренции в смежных отраслях. Принятые решения по демонополизации указанных отраслей экономики остаются незавершенными.</w:t>
            </w:r>
            <w:r>
              <w:br/>
            </w:r>
            <w:r>
              <w:rPr>
                <w:rFonts w:ascii="Times New Roman"/>
                <w:b w:val="false"/>
                <w:i w:val="false"/>
                <w:color w:val="000000"/>
                <w:sz w:val="20"/>
              </w:rPr>
              <w:t>
</w:t>
            </w:r>
            <w:r>
              <w:rPr>
                <w:rFonts w:ascii="Times New Roman"/>
                <w:b w:val="false"/>
                <w:i w:val="false"/>
                <w:color w:val="000000"/>
                <w:sz w:val="20"/>
              </w:rPr>
              <w:t>Политика Республики Казахстан в сфере конкуренции играет одну из главных ролей в реформировании системы государственного регулирования, поскольку система государственного управления диктует качество экономических и социальных норм и обуславливает применение законов, в том числе защищающих конкуренцию.</w:t>
            </w:r>
            <w:r>
              <w:br/>
            </w:r>
            <w:r>
              <w:rPr>
                <w:rFonts w:ascii="Times New Roman"/>
                <w:b w:val="false"/>
                <w:i w:val="false"/>
                <w:color w:val="000000"/>
                <w:sz w:val="20"/>
              </w:rPr>
              <w:t>
</w:t>
            </w:r>
            <w:r>
              <w:rPr>
                <w:rFonts w:ascii="Times New Roman"/>
                <w:b w:val="false"/>
                <w:i w:val="false"/>
                <w:color w:val="000000"/>
                <w:sz w:val="20"/>
              </w:rPr>
              <w:t>Достижение целей конкурентной политики предполагает решение следующих задач:</w:t>
            </w:r>
            <w:r>
              <w:br/>
            </w:r>
            <w:r>
              <w:rPr>
                <w:rFonts w:ascii="Times New Roman"/>
                <w:b w:val="false"/>
                <w:i w:val="false"/>
                <w:color w:val="000000"/>
                <w:sz w:val="20"/>
              </w:rPr>
              <w:t>
</w:t>
            </w:r>
            <w:r>
              <w:rPr>
                <w:rFonts w:ascii="Times New Roman"/>
                <w:b w:val="false"/>
                <w:i w:val="false"/>
                <w:color w:val="000000"/>
                <w:sz w:val="20"/>
              </w:rPr>
              <w:t>общее улучшение конкурентной среды за счет сокращения необоснованных внутренних и внешнеторговых барьеров, создания механизмов предотвращения избыточного регулирования, развития транспортной, информационной, финансовой, энергетической инфраструктуры и обеспечения ее доступности для участников рынка;</w:t>
            </w:r>
            <w:r>
              <w:br/>
            </w:r>
            <w:r>
              <w:rPr>
                <w:rFonts w:ascii="Times New Roman"/>
                <w:b w:val="false"/>
                <w:i w:val="false"/>
                <w:color w:val="000000"/>
                <w:sz w:val="20"/>
              </w:rPr>
              <w:t>
</w:t>
            </w:r>
            <w:r>
              <w:rPr>
                <w:rFonts w:ascii="Times New Roman"/>
                <w:b w:val="false"/>
                <w:i w:val="false"/>
                <w:color w:val="000000"/>
                <w:sz w:val="20"/>
              </w:rPr>
              <w:t>повышение эффективности защиты конкуренции от антиконкурентных действий государственных органов и субъектов рынка посредством совершенствования антимонопольного регулирования;</w:t>
            </w:r>
            <w:r>
              <w:br/>
            </w:r>
            <w:r>
              <w:rPr>
                <w:rFonts w:ascii="Times New Roman"/>
                <w:b w:val="false"/>
                <w:i w:val="false"/>
                <w:color w:val="000000"/>
                <w:sz w:val="20"/>
              </w:rPr>
              <w:t>
</w:t>
            </w:r>
            <w:r>
              <w:rPr>
                <w:rFonts w:ascii="Times New Roman"/>
                <w:b w:val="false"/>
                <w:i w:val="false"/>
                <w:color w:val="000000"/>
                <w:sz w:val="20"/>
              </w:rPr>
              <w:t>реализация мер развития конкуренции в отдельных отраслях путем ликвидации необоснованных внутренних и внешнеторговых барьеров, использования инструментов налогового и неналогового стимулирования и поддержки.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законопроектов на заседание Межведомственной комиссии по вопросам законопроектной деятельности при Правительстве Республики Казахстан до 1 сентября 2014 года</w:t>
            </w:r>
          </w:p>
        </w:tc>
      </w:tr>
    </w:tbl>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ГП - Генеральная прокуратура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АБЭКП - Агентство Республики Казахстан по борьбе с экономической и коррупционной преступностью (финансовая полиция)</w:t>
      </w:r>
      <w:r>
        <w:br/>
      </w:r>
      <w:r>
        <w:rPr>
          <w:rFonts w:ascii="Times New Roman"/>
          <w:b w:val="false"/>
          <w:i w:val="false"/>
          <w:color w:val="000000"/>
          <w:sz w:val="28"/>
        </w:rPr>
        <w:t>
      АДГС - Агентство Республики Казахстан по делам государственной службы</w:t>
      </w:r>
      <w:r>
        <w:br/>
      </w:r>
      <w:r>
        <w:rPr>
          <w:rFonts w:ascii="Times New Roman"/>
          <w:b w:val="false"/>
          <w:i w:val="false"/>
          <w:color w:val="000000"/>
          <w:sz w:val="28"/>
        </w:rPr>
        <w:t>
      АДСКЖКХ -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АРЕМ - Агентство Республики Казахстан по регулированию естественных монополий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