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b1a7" w14:textId="845b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об использовании унифицированной нормативно-справочной информации таможенных служб государств-членов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2013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использовании унифицированной нормативно-справочной информации таможенных служб государств-членов Евразийского экономического сообщества, совершенный в городе Минске 19 мая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января 2013 года № 31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использовании унифицированной нормативно-справочной</w:t>
      </w:r>
      <w:r>
        <w:br/>
      </w:r>
      <w:r>
        <w:rPr>
          <w:rFonts w:ascii="Times New Roman"/>
          <w:b/>
          <w:i w:val="false"/>
          <w:color w:val="000000"/>
        </w:rPr>
        <w:t>
информации таможенных служб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(Вступил в силу 12 марта 2013 года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2013 г., № 2, ст. 21)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Евразийского экономического сообщества,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подходах к применению информационных технологий в деятельности таможенных служб государств-членов Евразийского экономического сообщества от 9 июня 2009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информационной совместимости автоматизированных систем таможенных служб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необходимость интеграции информационных ресурсов таможенных служб государств - членов ЕврАзЭС на основе организации информационного взаимодействия между таможенными службами государств Сторон с использованием унифицированной системы классификации и кодирования информации, используемой при осуществлении таможенного контроля за перемещением товаров и транспортных средств через границы государств - членов ЕврАзЭС,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международные стандарты классификации и кодирования информации и необходимость их использования для информационного взаимодействия между таможенными службами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используемые термины имеют следующее значение: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«справочник» - систематизированный, структурированный и кодифицированный перечень однородной по своему содержанию или сути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«классификатор» - систематизированный, структурированный и кодифицированный перечень наименований объектов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«нормативно-справочная информация» - совокупность справочников и классификаторов, которые используются при осуществлении информационного обмена между таможенными службами государств-членов ЕврАзЭС;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«унифицированная система классификации и кодирования информации» - совокупность справочников, классификаторов нормативно-справочной информации, а также порядка и методологии их разработки, ведения и применения.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создание условий для поэтапного формирования унифицированной системы классификации и кодирования информации, необходимой для осуществления информационного взаимодействия таможенных служб государств - членов ЕврАзЭС в рамках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подходах к применению информационных технологий в деятельности таможенных служб государств - членов ЕврАзЭС от 9 июня 2009 года.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формируют унифицированную систему классификации и кодирования информации для ее использования при информационном обмене между информационными системами таможенных служб государств Сторон.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формирования унифицированной системы классификации и кодирования информации таможенные службы государств Сторон применяют нижеследующие правила, рекомендованные Европейской экономической комиссией Организации Объединенных Наций: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типа транспортного средства должен соответствовать классификатору видов транспорта (Рекомендация № 19 Рабочей группы по упрощению процедур международной торговли);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страны должен соответствовать справочнику ISO 3166-2006 «Коды для представления наименований стран»;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 валюты должен соответствовать справочнику ISO 4217-2000 «Коды для представления валют и фондов»;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коды и наименования дополнительных единиц измерения должны соответствовать справочнику кодов и наименований для единиц измерения, используемых в международной торговле (Рекомендация № 20 Рабочей группы по упрощению процедур международной торговли. «Коды для единиц измерения, используемых в международной торговле»).</w:t>
      </w:r>
    </w:p>
    <w:bookmarkEnd w:id="11"/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таможенными службами государств Сторон информации, подлежащей обмену между информационными системами таможенных служб государств Сторон, применяются коды товаров общей Товарной номенклатуры внешнеэкономической деятельности Евразийского экономического сообщества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общей Товарной номенклатуре внешнеэкономической деятельности Евразийского экономического сообщества от 20 сентября 2002 года.</w:t>
      </w:r>
    </w:p>
    <w:bookmarkEnd w:id="13"/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унифицируют нормативные правовые акты, регламентирующие порядок формирования и использования справочников и классификаторов в автоматизированных информационных системах таможенных служб государств Сторон в соответствии с правилами,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15"/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организуют совместную работу по установлению соответствия между унифицированной нормативно-справочной информацией и Моделью данных, рекомендуемой Всемирной таможенной организацией.</w:t>
      </w:r>
    </w:p>
    <w:bookmarkEnd w:id="17"/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государств Сторон могут на основе двухсторонних или многосторонних международных договоров расширять перечень правил формирования унифицированных справочников и классификаторов, приведенных в 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Протокола.</w:t>
      </w:r>
    </w:p>
    <w:bookmarkEnd w:id="19"/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применением или толкованием положений настоящего Протокола, разрешаются путем консультаций и переговоров между ними.</w:t>
      </w:r>
    </w:p>
    <w:bookmarkEnd w:id="21"/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 Протокол могут вноситься изменения и дополнения, которые оформляются отдельными протоколами, являющимися его неотъемлемыми частями.</w:t>
      </w:r>
    </w:p>
    <w:bookmarkEnd w:id="23"/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депозитарием, которым является Интеграционный Комитет ЕврАзЭС,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заключается на неопределенный срок. Любая Сторона может выйти из настоящего Протокола, направив соответствующее письменное уведомление депозитарию. Действие настоящего Протокола для такой Стороны прекращается по истечении 6 месяцев с даты получения депозитарием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19 мая 2011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Протокола сдается на хранение в Интеграционный Комитет Евразийского экономического сообщества, который направит каждой из Сторон его заверенную копию.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1"/>
        <w:gridCol w:w="7181"/>
      </w:tblGrid>
      <w:tr>
        <w:trPr>
          <w:trHeight w:val="75" w:hRule="atLeast"/>
        </w:trPr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1"/>
        <w:gridCol w:w="7181"/>
      </w:tblGrid>
      <w:tr>
        <w:trPr>
          <w:trHeight w:val="75" w:hRule="atLeast"/>
        </w:trPr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7"/>
        <w:gridCol w:w="7143"/>
      </w:tblGrid>
      <w:tr>
        <w:trPr>
          <w:trHeight w:val="75" w:hRule="atLeast"/>
        </w:trPr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