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4182" w14:textId="f9c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рейтингах столицы, города республиканского значения, областей, городов областного значения и районов"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2013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рейтингах столицы, города республиканского значения, областей, городов областного значения и районов».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«О рейтингах столицы, города республиканского значения,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областного значения и районов»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региональной политики, обеспечения эффективного мониторинга социально-экономического и индустриально-инновационного развития регионов, повышения инвестиционной привлекательности и конкурентоспособности регионов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ежегодные рейтинги социально-экономического и индустриально-инновационного развития столицы, города республиканского значения, областей, городов областного значения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статистике формировать на ежегодной основе рейтинги социально-экономического и индустриально-инновационного развития столицы, города республиканского значения,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столицы, города республиканского значения, областей формировать внутри регионов рейтинг социально-экономического развития городов областного значения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статистике по согласованию с Администрацией Президента Республики Казахстан в месячный срок утвердить методику и перечень показателей определения ежегодных рейтингов социально-экономического и индустриально-инновационного развития столицы, города республиканского значения, областей, городов областного значения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снижение показателей социально-экономического и индустриально-инновационного развития столицы, города республиканского значения, областей, городов областного значения и районов два и более года подряд является основанием для рассмотрения вопроса о дисциплинарной ответственности соответствующих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