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1e32" w14:textId="b3c1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государственной молодежной политики Республики Казахстан до 2020 года "Казахстан 2020: путь в будущее"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2013 года № 191.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16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поручений Президента Республики Казахстан Назарбаева Н.А., данных на XIX сессии Ассамблеи народа Казахстана, утвержденного распоряжением Государственного секретаря Республики Казахстан от 18 мая 2012 года № 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молодежной политики Республики Казахстан до 2020 года "Казахстан 2020: путь в будущее".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заинтересованными центральными и местными государственными органами в месячный срок разработать План мероприятий по реализации Концепции государственной молодежной политики Республики Казахстан до 2020 года "Казахстан 2020: путь в будущее" и внести его на утверждение в Правительство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 № 191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до 2020 года "Казахстан 2020: путь в будущее"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Видение развития государственной молодежной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Основные принципы и общие подходы развития государственной молодежной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Перечень нормативных правовых актов, посредством которых предполагается реализация Концепции государственной молодежной политики Республики Казахстан до 2020 года "Казахстан 2020: путь в будущее"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Введение с изменениями, внесенными постановлениями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Казахстанцы – динамичная и молодая нация: каждый второй житель республики моложе 30 лет. С уровнем развития казахстанской молодежи, ее интеграцией в общество связано будущее Казахстана, основы которого закладываются в настоящем.</w:t>
      </w:r>
    </w:p>
    <w:bookmarkEnd w:id="7"/>
    <w:bookmarkStart w:name="z2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молодежной политики являются одними из ключевых целей Стратегии "Казахстан – 2050", инициированной Президентом Республики Казахстан – Елбасы Назарбаевым Н.А.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страна ставит перед собой новые масштабные задачи по социальной модернизации, форсированной инновационной индустриализации и экономической интеграции. Закрепив достижения 20 лет независимости, Казахстан намерен в третьем десятилетии XXI века уверенно продвигаться к цели – войти в число 30 развитых стран мира.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условиях огромная надежда и ответственность возлагаются на молодежь, которой предстоит продолжить эстафету созидательных дел старшего поколения, поднять планку национальной конкурентоспособности еще выше, обеспечить Казахстану в XXI веке процветание и мировое признание.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миссия под силу только профессионально образованной, физически и нравственно здоровой, конкурентоспособной, патриотичной и социально ответственной молодежи. В этой связи приоритетной задачей государства становится адаптация государственной молодежной политики к требованиям времени, в котором молодежь становится важным фактором конкурентоспособности Казахстана.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Государственная молодежная политика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первых лет независимости вопросы успешной социализации молодого поколения были и остаются в центре внимания государства.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1994 году Казахстаном ратифицирована 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ребенка. 28 августа 1999 года распоряжением Президента Республики Казахстан одобрена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молодежной политики Республики Казахстан. В последующем с принятием данного документа Правительством, начиная с 2001 года, реализован ряд программ, в том числе "Молодежь Казахстана", Программа молодежной политики на 2003 - 2004 годы, Программа молодежной политики на 2005 - 2007 годы, а также Государственная программа патриотического воспитания граждан Республики Казахстан на 2006 - 2008 годы.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программы были нацелены на обеспечение социальных прав молодежи в области образования, труда и занятости, охраны здоровья, развития творческого потенциала, создание условий для широкой социализации молодежи и формирование ценностей патриотизма.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Институциональной основой для последующей реализации молодежной политики стало принятие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Казахстан". С 2010 года молодежная политика реализуется в рамках Государственной программы развития образования Республики Казахстан на 2011 - 2020 годы.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по итогам I съезда Молодежного крыла "Жас Отан" при Народно-Демократической партии "Нур Отан" (далее – НДП "Нур Отан") был создан Совет по молодежной политике при Президенте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направлений государственной молодежной политики является поддержка инициатив молодежных организаций в рамках государственного социального заказа, объем которого за прошедшие 7 лет вырос более чем в 10 раз.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Дальнейшим этапом совершенствования процессов взаимодействия государства и молодежи стало создание в структуре Министерства образования и науки Комитета по делам молодежи и управлений по вопросам молодежной политики городов Астаны, Алматы и областей.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к настоящему времени на улучшение социально-экономических условий, становление и всестороннее развитие будущих поколений направлены не только специальные молодежные, но и реализуемые сегодня в стране масштабные государственные программы развития образования, здравоохранения, языков, форсированного индустриально-инновационного развития; программы "100 школ, 100 больниц", "Балапан", "Дорожная карта бизнеса - 2020", "Доступное жилье - 2020".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Демографическая ситуация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Молодежь Казахстана в возрасте от 14 до 29 лет составляет свыше 26 % населения страны. В 2012 году ее численность приблизилась к 4,4 млн. человек.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Наибольший удельный вес молодежи от общей численности населения области, а также города республиканского значения приходится на города Астана и Алматы, а также Актюбинскую область, где молодые люди в возрасте от 14 до 29 лет составляют 29 %.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Наименьший удельный вес молодежи от общей численности приходится на Северо-Казахстанскую область – 22 %, в Акмолинской, Восточно-Казахстанской, Карагандинской и Павлодарской областях – 24 %.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казахстанской молодежи характерен высокий образовательный уровень. Число молодежи, имеющей высшее образование, за последнее десятилетие выросло в 3 раза, среднее специальное образование почти в 2 раза. Число сельской молодежи, имеющей высшее образование, выросло в 6 раз, городской – в 4 раза. В целом, высшее, незаконченное высшее и средне-специальное образование имеют 40 % казахстанской молодежи.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Молодежные организации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последнее десятилетие их количество в стране увеличилось более чем в 7 раз. Продолжается процесс консолидации молодежи в таких массовых организациях как Конгресс молодежи Казахстана (2002) и Молодежное крыло "Жас Отан" (2008) при НДП "Нур Отан". В 2005 году было создано общественное объединение студенческой молодежи "Альянс студентов Казахстана".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2011 года действует "Ассоциация молодых депутатов Казахстана", а во всех регионах республики – молодежные маслихаты. В 2011 году появились новые организации для детей и юношества - "Жас Кыран" и "Жас Улан", приоритетной задачей которых является патриотическое воспитание.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Реализуется целый ряд молодежных программ и инициатив: "Молодежная практика", "Жасыл ел", "С дипломом в село!", "Молодежный кадровый резерв", "Школа государственной службы", "Жастар - Отанға!", которые получают широкий позитивный общественный резонанс.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Занятость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молодежная политика в сфере труда и занятости осуществляется посредством реализации программ трудоустройства молодежи, развития общественных работ и обучения молодежи на курсах профессиональной подготовки и повышения квалификации.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численность экономически активного населения в возрасте 15 лет и старше достигла 8,8 млн. человек. В структуре занятых (8,3 млн. человек), около трети (30,5 %) составили лица в возрасте 25-34 лет и 14,5 % - молодежь от 15 до 24 лет. В структуре занятости наемный труд превалирует у городской молодежи на 78,3 %, сельской – 40,9 %.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безработицы среди молодежи в среднесрочном периоде (начиная с 2005 года) находился в пределах от 13,4 до 4,6 % (при общем уровне безработицы в 8,1 – 5,4 %).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уровень безработицы среди молодежи (4,6 %) впервые за многие годы оказался ниже общего уровня безработицы (5,4 %). Уровень молодежной безработицы выше в городах. В 2011 году он составил 5,6 %, тогда как на селе – 3,8 %.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Проводимая с первых лет независимости государственная молодежная политика сыграла стабилизирующую роль в жизни общества, позволила смягчить трудности жизненного старта, с которыми неизбежно сталкиваются молодые люди, создала условия для социализации молодежи.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ВИДЕНИЕ РАЗВИТИЯ ГОСУДАРСТВЕННОЙ МОЛОДЕЖНОЙ ПОЛИТИКИ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Актуальные проблемы современной молодежи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Угрозы и риски в вопросах социализации казахстанской молодежи формируют актуальную повестку государственной молодежной политики, вокруг которой должны быть сфокусированы усилия всех государственных органов, корпоративного сектора и институтов гражданского общества.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Давление глобализации на систему традиционных ценностей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глобализации открывают национальные границы государств с разным уровнем экономического, социального, политического и культурного развития. Происходит размывание традиционных ценностей под давлением массовой культуры потребления.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во всем мире национальные государства заинтересованы предложить молодому поколению убедительную систему ценностей, позволяющую сохранить преемственность в развитии общества в условиях открытого мира.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Недоминантный статус ценностей труда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молодежной среде в настоящее время усиливается прагматическая ориентация. В ряду жизненных ценностей наиболее значимым становится стремление к материальному достатку. При этом зачастую жизненный успех, достижение высокого социального статуса не связываются напрямую с собственными способностями трудиться, последовательно добиваться поставленных целей.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Патернализм и социальный инфантилизм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Мировая практика показывает, что экономический рост сопровождается увеличением социальных ожиданий в обществе, способствует распространению патерналистских настроений в отношении государства и формированию поколения инфантильных граждан. Подобные явления наблюдаются и в Казахстане. Социологические исследования свидетельствуют: сегодня 58 % молодежи Казахстана полностью рассчитывает на помощь со стороны государства в решении собственных проблем, 92,5 % юношей и девушек ожидают прямого содействия и протекции в трудоустройстве.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Культ потребления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проявлений мировоззренческого кризиса молодежи является культ потребления, ставшего частью кризиса общества всеобщего потребления. Потребительские практики приобрели характерные черты и особенности современного стиля жизни молодежи, для которой обладание материальными благами становится самоцелью.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Риск радикализации молодежной среды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имеющая жизненного опыта и знаний молодежь подвержена риску оказаться под влиянием внутренних и внешних деструктивных сил, рекрутирующих молодежь для реализации своих политических целей. Проникновение в молодежную среду экстремистских взглядов и идей, провоцирование молодежи на противоправные действия способны нарушить межэтническое, межкультурное и межконфессиональное согласие в обществе.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Маргинализация молодежи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предпринимаемой государством ускоренной социальной модернизации появляются "отстающие" от преобразований социальные группы, чье поведение зачастую отличается от общепринятых, устоявшихся норм. Появление социальных аутсайдеров или маргинальной молодежи обусловлено трудностями интеграции в общество и адаптации к новым социально-экономическим условиям.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процесс социализации молодежи, ее вовлечение в общественно-политическую жизнь будут основываться на следующих ценностях: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Патриотизм</w:t>
      </w:r>
    </w:p>
    <w:bookmarkEnd w:id="53"/>
    <w:bookmarkStart w:name="z2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патриотом - это носить Казахстан в своем сердце", – так определил эту ценность Глава нашего государства. Для молодых казахстанцев ярким примером патриота своей страны является трудовой и жизненный путь Елбасы.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Родина начинается в семье, где формируется особое личностное отношение к своей земле, ее истории, культуре, населяющим ее людям, будням и праздникам, символам государства.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важно сформировать у молодежи понимание того, что патриотизм – это великая ответственность за себя, свою семью и нашу Родину.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Единство народа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Стабильность – основа успеха и один из главных итогов 20-летия развития Казахстана. Единство полиэтничного и многоконфессионального народа Казахстана - абсолютная ценность и задача всех поколений - оберегать эту ценность и преумножать во имя процветания страны.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Культурное многообразие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ценность, которая не разделяет, а объединяет. Менталитет народа Казахстана, основанный на этническом многообразии, не должен раствориться в мировом потоке культуры, он должен быть сохранен молодым поколением в качестве уникального национального достояния.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Влияя на процессы нравственного формирования молодежи, государство должно уделять внимание росту общего уровня культуры, развитию коммуникационных технологий.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добиваться соответствия уровня развития молодежи требованиям третьего тысячелетия. Важным направлением работы должно стать обеспечение прав на свободу совести и вероисповедания в соответствии с законодательством Республики Казахстан.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Толерантность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Уникальная модель межэтнического и межконфессионального согласия Главы нашего государства должна стать основой формирования толерантности молодого поколения, спокойного понимания и уважительного восприятия ею этнических и религиозных отличий. Молодежь страны, которая является местом диалога культур, религий и цивилизации, мостом между Востоком и Западом более, чем кто-либо должна быть заинтересована в распространении культуры мира и согласия.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Законопослушность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Очевидно, что только законопослушные граждане способны совершенствовать демократию и строить подлинно правовое государство. Жизненной привычкой молодежи должно стать неукоснительное следование букве и духу закона. Это особенно важно на этапе, когда у подрастающего поколения только формируются навыки "взрослой" жизни. Рост правового сознания, формирование уважения к установленным правилам и нормам поведения должны стать объектом особого внимания всех социальных институтов. Авторитет закона должен прочно закрепиться в сознании казахстанской молодежи как базовая ценность современного этапа развития.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Образование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Традиционные ценности молодежи – образование и карьера должны быть пересмотрены с учетом четкой ориентированности системы образования на рынок труда, обеспечения соответствия системы образования и профессиональной подготовки экономическим, социальным и предпринимательским реалиям с учетом выявленных потребностей и технологических новшеств. Повышение престижности науки среди молодежи и привлечение их к разработке инновационных проектов должны стать одним из основных ориентиров молодежной политики.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Трудолюбие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обществе всеобщего труда важнейшей базовой ценностью молодежи должны стать трудолюбие и особая трудовая этика, в основе которой лежит вовлеченность молодежи в экономико-трудовую деятельность. В этой связи беспрецедентный шанс для самореализации молодежи представляют программы "Социальная модернизация Казахстана: двадцать шагов к обществу всеобщего труда", Государственная программа форсированного индустриально-инновационного развития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Большую экономическую ценность представляет высокая мобильность молодежи. Согласно исследованиям треть молодежи готова поехать за работой в любой регион страны. Готовность к социальной адаптации в любых условиях, естественное стремление молодых людей самоутвердиться могут решить вопрос внутренней миграции в точках роста – Астане, Алматы, Шымкенте, Актобе, Актау.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Инновационность</w:t>
      </w:r>
      <w:r>
        <w:rPr>
          <w:rFonts w:ascii="Times New Roman"/>
          <w:b w:val="false"/>
          <w:i/>
          <w:color w:val="000000"/>
          <w:sz w:val="28"/>
        </w:rPr>
        <w:t>, наука и инновации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к инновационной экономике актуализирует задачу формирования инновационного поведения казахстанской молодежи. Молодость не любопытна ко всему, что ассоциируется у нее со вчерашним днем. Поэтому в силу своей восприимчивости ко всему новому, адаптивности к жизненным переменам, творческой интеллектуальной энергии и готовности к социально активной деятельности, молодежь должна стать проводником и ускорителем внедрения в практику новых идей, инициатив и технологий. С ней должен быть связан прогресс казахстанской науки, особенно естественных, технических наук. Путь молодежи в науку – это путь в будущее.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Семья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в Казахстане всегда рассматривалась в качестве важнейшего социообразующего элемента. Она является основой бытия общества, государства, важнейшим звеном в системе нравственных и духовных координат человека.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Особой заботой должны быть окружены пожилые люди и дети, что издавна принято у народа Казахстана. Формирование чувства социальной ответственности за себя и своих близких должно стать ключевым в вопросах молодежной политики, начиная с воспитания в семье. Неразрывно связана с семьей ценность жизни, ее безопасность и продолжение.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Здоровье и спорт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реализации государственной молодежной политики должна войти пропаганда ценности здоровья и спорта. По-прежнему высоко значимым остается принцип солидарной ответственности за свое здоровье, отказа от вредных привычек, ведение здорового образа жизни.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в Казахстане сегодня является именно той сферой, где социальные лифты работают наиболее отлаженно. Глобальные успехи казахстанских спортсменов наглядно показывают, что парни и девушки, проявляя яркий талант, упорство, характер и трудолюбие, могут добиться высоких результатов, а вместе с ними славы, почета, уважения и материального благополучия.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спорта и массовой физической культуры должно стать особым приоритетом молодежной политики.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Позитивные идеалы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Рыночная экономика и постиндустриальное развитие Казахстана обуславливают необходимость формирования новых стратегий социально-экономического поведения молодежи. Профессиональное самоопределение и карьера, интеграция в сферу труда и стремление к успеху должны рассматриваться как важный механизм социализации молодежи.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важно формировать у молодежи приверженность принципам меритократии ("власть достойных"). Главным атрибутом современной профессиональной карьеры должно стать продвижение по ступеням статусной, профессиональной, должностной иерархии исключительно по заслугам. Молодежь должна двигаться вперед, имея позитивные идеалы и равняясь на лучших, тех, кто поднялся на вершину успеха благодаря собственному таланту, работоспособности и личной ответственности.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Новая экологическая этика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"зеленой экономики" как основы индустриализации актуализирует экологические вопросы. Молодежь должна стать носителем новой экологической этики, бережно относиться к родной земле и ее природным богатствам.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Цель и задачи Концепции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социализации молодежи – это главный механизм включения молодых людей в общественно-политическую жизнь. Объективно вопрос участия молодых поколений в общественном развитии – это вопрос темпов, характера и качества развития страны.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Полнокровная интеграция молодежи в социально-экономические и политические процессы обеспечивается на основе широкого взаимодействия государства, институтов гражданского общества и бизнес-сообщества.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время, государство и общество, оказывая поддержку молодым людям, должны воздерживаться от чрезмерной опеки, способной снизить у молодых людей стимул к самостоятельному поиску своего места в жизни.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цель Концепции заключается в формировании эффективной модели государственной молодежной политики, направленной на успешную социализацию молодых людей, направление их потенциала на дальнейшее развитие страны.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цели предполагает реализацию следующих задач: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доступного и качественного образования;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здорового образа жизни;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правовой культуры и формирование у молодежи уважения к основополагающим ценностям государственности;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трудоустройства молодежи;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доступного жилья для молодежи;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приобщение молодежи к культурным ценностям;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стимулирование гражданской и патриотической самореализации молодежи;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преемственности морально-нравственных ориентиров в молодежной среде;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научно-исследовательское обеспечение и совершенствование нормативно-правовой базы государственной молодежной политики;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вовлечение молодежи в реализацию "Стратегии Казахстан-2050".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Периоды реализации и ожидаемые результаты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государственной молодежной политики будет осуществляться поэтапно следующим образом: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 с 2013 года до 2015 года.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Концепции будет сформирована эффективная модель межведомственного взаимодействия, конкретизирующая компетенцию и зону ответственности центральных государственных и местных исполнительных органов, институтов гражданского общества и бизнеса.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указанной задачи следует совершенствовать подходы к взаимодействию государства и молодежи посредством консультативно-совещательных органов при акимах всех уровней. Совет по молодежной политике при Президенте Республики Казахстан продолжит работу по повышению координирующей роли в вопросах выработки рекомендаций, направленных на постоянное совершенствование молодежной политики.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программ молодежной политики будут вовлечены Федерация профсоюзов Республики Казахстан, Национальная экономическая палата "Союз Атамекен", акционерное общество "Фонд национального благосостояния "Самрук-Казына" и молодежные организации.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предстоящий период будет реализована новая схема взаимодействия центральных государственных, местных исполнительных и представительных органов с республиканскими и региональными молодежными организациями, основанная на принципах проектного подхода и достижения социального результата. На центральном и местном уровнях получит активное применение отраслевой принцип размещения социального заказа, позволяющий реализовывать социальные проекты на среднесрочной прогнозной основе с охватом всех категорий молодежи. На первом этапе реализации Концепции будут разработаны первоочередные мероприятия молодежной политики.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последовательно совершенствоваться условия прохождения и участия молодежи в проектах, нацеленных на обеспечение занятости, трудоустройства, доступного жилья и практической поддержки перспективных бизнес-идей.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начальном этапе реализации Концепции будет начата работа по формированию целостной инфраструктуры, нацеленной на адресное взаимодействие с молодежью по местожительству, учебы и работы.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осуществления Концепции будут разрабатываться принципиально новые инструменты мониторинга, анализа и регулирования государственной молодежной политики.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Усилия всех заинтересованных сторон будут обеспечиваться целевым информационным сопровождением, учитывающим потребности молодежи и тенденции в молодежной среде.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с 2015 года до 2020 года.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условием станет внедрение целевых индикаторов оценки реализации всех бюджетных программ, затрагивающих интересы и потребности молодежи. Будет проведен анализ мероприятий, реализуемых государственными органами в сфере молодежной политики, по результатам которого предполагается рассмотреть возможность выделения целевых трансфертов для реализации задач в сфере государственной молодежной политики.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о создании центров поддержки инициатив молодежи и оказания ими всего спектра государственных и информационных услуг. Повсеместно развивается национальная волонтерская сеть.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 условием успешной реализации Концепции является пересмотр подходов к взаимодействию с молодежью в системе образования. Будет проработана возможность организации во всех высших учебных заведениях консультационных услуг молодым семьям, реализации программ по пропаганде ценности семьи, целевых программ по развитию спортивной инфраструктуры, в том числе и в рамках государственно-частного партнерства. Предполагается изучение вопроса модернизации спортивных залов всех учебных заведений, пересмотра стандартов преподавания общей физической культуры и спорта. Повсеместно будут создаваться национальные лиги студенческого спорта.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 широкой социализации молодежи будут вовлечены объединения работодателей и профсоюзное движение. На предприятиях среднего и крупного бизнеса будут реализовываться долгосрочные программы поддержки и развития кадрового потенциала, в том числе жилищные, образовательные и оздоровительные программы. Последовательно будут применяться меры социально-экономического стимулирования бизнеса, реализующие программы по укреплению социального самочувствия молодежи в трудовых коллективах.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Созданный по поручению Президента Республики Казахстан Н.А. Назарбаева научно-исследовательский центр "Молодежь" станет высокопрофессиональным методическим центром, деятельность которого будет направлена на разработку и проведение социологических исследований, подготовку аналитических обзоров, осуществление мониторинга, а также проведение иных исследований.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изучена возможность начала системной работы по повышению квалификации и обучению представителей всех заинтересованных сторон, обеспечивающих адресное взаимодействие с молодежью.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все механизмы взаимодействия с молодежью будут находиться в процессе постоянного развития, при этом приоритетным направлением станет совершенствование нормативно-правового обеспечения государственной молодежной политики, как на центральном, так и региональном уровне.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реализации Концепции государственной молодежной политики должны стать улучшение социально-экономического положения молодых казахстанцев, образовательный и профессиональный рост молодежи, увеличение степени ее вовлеченности в социально-экономическую жизнь общества.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молодежи в реализации целей и задач "Стратегии Казахстан-2050" обеспечит поступательное развитие Казахстана в новых условиях глобальной конкуренции – успех молодежи становится прочным залогом успеха всей страны.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ОСНОВНЫЕ ПРИНЦИПЫ И ОБЩИЕ ПОДХОДЫ РАЗВИТИЯ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Базовые принципы реализации молодежной политики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 на общенациональном, региональном и местном уровнях будет основана на принципах: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комплексности разработки и реализации молодежной политики;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межведомственного взаимодействия и вовлечения усилий и ресурсов всех заинтересованных сторон для достижения социального результата;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единообразия, адресности и повсеместного охвата всех целевых групп;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внедрения передовых методик мониторинга и диагностики, происходящих тенденций для принятия системных управленческих решений;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целевого информационного сопровождения реализуемых программ.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реализации молодежной политики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изменением, внесенным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Обеспечение доступного и качественного образования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Знания рассматриваются как ключевой фактор производства, решающий экономический ресурс государства. Качественное образование, высокий уровень функциональной грамотности, профессионализма, заключенного в овладении системой ключевых компетенций, позволят молодежи быть конкурентоспособной и востребованной на рынке труда.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Сегодня, когда Казахстан стоит на пороге постиндустриального общества, в котором правит триада "образование-наука-инновации", безусловным пропуском в третье тысячелетие являются знания и профессионализм. В этой связи, процесс модернизации должен быть продолжен как в системе технического и профессионального, так и высшего образования, который должен быть направлен на учет реальных потребностей рынка и диверсифицирующейся экономики.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дальнейшее развитие дуальной системы профессионального образования с учетом потребностей рынка;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переориентировать размещение государственного образовательного заказа на подготовку специалистов с техническим и профессиональным образованием с учетом потребности рынка труда;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сориентировать учебные программы на развитие функциональной грамотности и достижение ключевых компетенций;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внедрить эффективные формы и методы обучения для формирования логического, критического и конструктивного мышления;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образованию и профессиональной подготовке, ориентированным на трудоустройство, для обеспечения непрерывного совершенствования системы образования под меняющуюся социально-экономическую конъюнктуру, включая потребности рынка;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вовлечение молодежи в науку;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популяризировать образовательные порталы среди молодежи;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разработать систему участия крупных национальных и иностранных компаний в управлении вузами, позволяющую максимально приблизить квалификацию выпускников интересам производства, а также усовершенствовать материально-техническую базу университетов в рамках государственного образовательного заказа, изучить необходимость создания на базе вузов исследовательских центров и лабораторий. Предприниматели и крупные бизнесмены также должны участвовать в создании системы профессиональных квалификаций;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предоставить общественности, родителям и самим учащимся больше возможностей влиять на содержание образовательного процесса, качество преподавания, развивать академические свободы, в том числе через управление учебными заведениями;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повысить эффективность студенческого самоуправления в целях продвижения идей Болонского процесса в системе высшего образования Республики Казахстан;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активизировать работу социальных молодежных служб по оказанию консультационной помощи учащейся молодежи.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Формирование здорового образа жизни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экономических задач не представляется возможным, если молодые казахстанцы не будут физически здоровыми.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 государственной молодежной политики должен стать принцип солидарной ответственности за свое здоровье.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Молодым людям необходимо отказываться от вредных привычек, повышать мотивацию к ведению здорового образа жизни, обращая внимание на профилактические мероприятия. Особым приоритетом должны стать занятия спортом и физической культурой.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"молодежь" и "физическая культура" должны стать неотъемлемой частью образа жизни молодого человека.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формировать у молодежи привычку к регулярному прохождению профилактических мероприятий и вакцинаций;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активизировать работу средств массовой информации по представлению данных о доступности медицинской помощи, включая консультативные услуги, с участием семьи, групп сверстников, учебных заведений, средств массовой информации, медицинских учреждений и других партнеров в рамках здорового образа жизни;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проработать возможность создания и обеспечения доступа молодежи к единой информационной базе данных по вопросам охраны репродуктивного здоровья;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вопрос расширения программы по модернизации спортивных залов и оснащению спортивным инвентарем организаций системы образования;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доступность спортивных объектов для массового занятия спортом;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развития активного образа жизни и укрепления патриотизма вести пропаганду отечественного экотуризма, разрабатывая новые маршруты и добиваясь роста их популярности.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Повышение правовой культуры и формирование уважения у молодежи к основополагающим ценностям государственности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Молодые люди должны четко осознать, что успешная страна - это не только забота старшего поколения, это - завтрашний день самой молодежи.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сознании юношей и девушек должно прочно закрепиться понимание того, что государство – не спонсор молодежи, а сподвижник, создающий условия для ее самореализации.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молодежи важно понимание того, что только собственным упорным трудом, приобретением качественного образования и использованием его на практике, бережливостью, активным включением в происходящие процессы можно добиться личного успеха и общего процветания.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гарантируя защиту прав и свобод молодых граждан, государство будет повышать общий уровень правовой культуры и противодействовать социально-негативным явлениям, имеющим место в молодежной среде.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всех необходимых мер по повышению правовой культуры и воспитанию у молодежи уважения к государству как гаранту обеспечения прав и свобод молодежи;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противодействовать правовому нигилизму среди молодежи, внедрять стандарты "нулевой терпимости" к мелким правонарушениям;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систему ювенальной юстиции, конкретизируя меры для профилактики безнадзорности, преступности и иных правонарушений среди несовершеннолетних, защите прав и интересов детей-сирот, детей, оставшихся без попечения родителей, детей из неполных и неблагополучных семей;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предусматривать реабилитацию, а при необходимости реинтеграцию в общество, особенно через учебные заведения, молодых людей, которые содержатся под стражей или отбывают тюремное заключение в качестве несовершеннолетних правонарушителей, с активным привлечением молодежных социальных служб.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Создание условий для трудоустройства молодежи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будет совершенствовать работу по содействию в трудоустройстве и занятости молодежи. Особое внимание будет уделяться участию молодежи в реализации программ по форсированной инновационной индустриализации экономики, модернизации сельского хозяйства, развитии малого и среднего бизнеса, повышении качественного уровня государственной службы.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один сегмент молодежи не должен остаться вне государственной политики занятости. Ключевая задача государства – способствовать трудоустройству каждого молодого гражданина.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 трудоустройства расширить каналы обратной связи с молодежью через работу диалоговых площадок, виртуальных консультативных сообществ для детального изучения потенциальных возможностей и потребностей молодежи;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предусмотреть механизмы активного вовлечения молодежи в профсоюзные ряды;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равные возможности для трудоустройства молодых людей с ограниченными возможностями;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возможность использования дополнительных стимулов для повышения заинтересованности организаций и предприятий, независимо от форм собственности, при приеме на работу молодых специалистов, создании рабочих мест для молодежи, ее профессиональной подготовке и переподготовке, производственном обучении;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создать систему обучения и курирования на местах молодых сотрудников без опыта работы. Развивать институт наставничества на производстве, привлекая для этого на общественных началах вышедших на пенсию специалистов, создавая тем самым условия для преемственности производственной и технологической культуры;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содействовать появлению в школах консультативных услуг для молодежи в вопросах выбора профессии.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Развитие системы доступного жилья для молодежи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наиболее актуальных проблем молодых семей является наличие собственного жилья. Собственное жилье – это основа крепкой семьи, успешной трудовой карьеры, душевного комфорта и самореализации человека. Государство будет оказывать поддержку молодым людям в приобретении жилья, опираясь на уровень развития и возможности национальной экономики.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проработать вопрос совершенствования жилищного законодательства с целью конкретизации мер, направленных на льготное кредитование молодых семей;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возможность пересмотра возрастных ограничений для молодых семей, претендующих на участие в жилищных программах, в сторону увеличения возраста в связи со сложившимися демографическими тенденциями;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расширять программы строительства студенческих общежитий, в том числе в рамках государственно-частного партнерства.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Приобщение молодежи к культурным ценностям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Культура, язык, обычаи и традиции народа хранят в себе его коллективный жизненный опыт, особенные национальные черты, отражающиеся в поведении и мировоззрении народа.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Прогрессивность молодежи и стремление к глобализации должны сочетаться с чувством подлинного патриотизма, уважения традиций и культуры народа Казахстана, принципами межэтнического взаимоуважения и межкультурного взаимообогащения.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Оказывая влияние на процессы нравственного формирования молодежи и ее гражданской идентификации, государство будет уделять особое внимание контенту отечественной массовой культуры, развитию языков, а также средств коммуникации, способствующих их сохранению и приумножению.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воспитывать молодых людей в духе уважения к семейным ценностям, создания в семье устойчивой морально-нравственной атмосферы, особого почитания к пожилым людям, трепетного отношения к детям;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активную пропаганду "триединства языков" (казахский, русский, английский), начиная с дошкольных учреждений;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модернизировать подходы к популяризации народных традиций, обычаев, способствуя освоению молодежью социокультурного опыта и мудрости предшествующих поколений;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проработать возможность более широкого показа документальных и художественных фильмов на английском языке на образовательных телеканалах "Бiлiм", "Мәдениет";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устранению информационного неравенства в обществе;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социальные сети в качестве инструмента консолидации молодежи.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Стимулирование гражданской и патриотической самореализации молодежи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современном мире молодые люди являются одними из главных участников социально-политической жизни, формируя собственную гражданскую позицию, овладевая навыками общественной деятельности и поведения. При проведении государственной молодежной политики важно ориентироваться на формирование принципов консолидации и гражданственности.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современном обществе процесс гражданской идентификации – это, прежде всего, усвоение демократических ценностей, уважение к закону, включенность в национальную культуру. Результатом такого процесса в идеале являются зрелый гражданин, не подверженный колебаниям политической конъюнктуры, носитель высокого духа патриотизма и гражданской ответственности.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успешной реализации концепции государство выступает за консолидацию молодежи, как важного фактора ее социализации. Поддерживая инициативы молодежи, государство будет содействовать процессам консолидации казахстанской молодежи в общественные объединения с учетом интересов и принципа свободы выбора.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четкую межведомственную координацию государственной молодежной политики на общенациональном, региональном и местном уровнях, направленную на поддержку гражданских инициатив молодежи;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системную работу по научно-исследовательскому сопровождению молодежной политики, основанной на объективных программах мониторинга и диагностики;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комплексный подход к развитию инфраструктуры молодежной политики;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разработку ежегодных стратегических планов государственных органов с включением раздела о молодежи и учетом потребностей молодых казахстанцев;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внедрять различные институциональные формы вовлечения молодежи в совместные коллективные действия;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изучить возможность ориентирования области применения государственного социального заказа, позволяющего финансировать проекты, предлагаемые молодежью, и активизировать ее творческий и инновационный потенциал;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содействовать работе молодежных неправительственных организаций с молодыми репатриантами, маргинальной молодежью, создавая возможности успешной социальной адаптации в условиях исторической родины;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содействовать развитию волонтерского движения;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вести воспитательную работу в школах и колледжах по подготовке к службе в армии, уделяя внимание повышению уровня моральной и физической подготовки будущих призывников;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пропагандировать престиж воинской службы, ввести новую модель воспитательной работы в воинских частях.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Обеспечение преемственности морально-нравственных ориентиров в молодежной среде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Доминирующими для казахстанской молодежи должны стать традиционные общечеловеческие ценности, такие как честность, доброта, справедливость, терпимость.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– светское государство, которое рассматривает религиозные объединения в качестве социального партнера в воспитании молодежи и подрастающих поколений. Вместе с тем, религиозность не может и не должна полностью отождествляться с духовностью. В противном случае общество теряет секулярный характер, сужает перспективы своего развития, подчиняясь религиозным догматам.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формировать новые нравственные ориентиры: культ знаний и профессионализма; прагматичное отношение к здоровью; позитивное восприятие нового и перемен; экологическое сознание, безусловная ценность природы и ответственность за состояние окружающей среды и др.;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возможность введения специального курса по религиозному наследию Казахстана, в рамках которого вести просветительскую работу, направленную на получение молодежью качественных знаний в области религии.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Научно-исследовательское обеспечение и совершенствование нормативно-правовой базы государственной молодежной политики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Научно-исследовательское обеспечение в сфере реализации государственной молодежной политики предполагает более глубокое изучение молодежной проблематики на системной основе с использованием инновационных научных методов и подходов. Для разработки путей решения наиболее актуальных проблем в молодежной среде необходимо проводить постоянный мониторинг реализации прав молодежи с применением современного инструментария: социологические исследования, методы наблюдения, адаптация международного опыта и т.д.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для всестороннего исследования состояния молодежи, а также объективного видения социокультурных процессов впервые создан научно-исследовательский центр "Молодежь".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центр "Молодежь" будет проводить различные исследования среди молодежи, участвовать в разработке научно-исследовательских проектов и программ в сфере государственной молодежной политики, осуществлять мониторинг деятельности и прогнозирование развития молодежи и молодежных общественных организаций. По итогам научных исследований будут разработаны конкретные предложения и рекомендации для улучшения положения молодежи, эффективной реализации их прав и гарантий, а также раскрытии потенциала. Выработанные рекомендации будут на постоянной основе направляться на совершенствование нормативной правовой базы молодежной политики, с учетом требований нового времени, обозначения вектора дальнейшего развития Казахстана на долгосрочный период.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во избежание стихийности, однобокости и поверхностности необходимо учитывать данные рекомендации при разработке и усовершенствовании нормативно-правовой базы государственной молодежной политики.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расширить тематику научных исследований по наиболее востребованным в молодежной среде темам;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исследования с учетом потребностей и запросов всех групп молодежи и современного законодательства;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возможность обеспечения научно-методического сопровождения этапов реализации государственной молодежной политики;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пул молодых ученых и экспертов по изучению молодежной проблематики;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комплексный подход при проведении исследований;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внедрять новые научные методы и законотворческие инициативы по работе с молодежью, как самоценным социумом общественного развития.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Вовлечение молодежи в реализацию "Стратегии Казахстан-2050"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Молодежь представляет собой не только объект заботы со стороны государства, молодежь – это также и активный субъект, участвующий в жизни общества и существенно влияющий на качество и темпы его развития. Поэтому государство заинтересовано в том, чтобы дееспособность молодежных организаций определялась возможностью, с одной стороны, решать актуальные проблемы молодежи и формировать у нее новые позитивные потребности, с другой – мобилизовывать и направлять энергию молодежи на решение стратегических государственных задач, поставленных Президентом страны, Елбасы Назарбаевым Н.А.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декабря 2012 года "Казахстан 2050: новый политический курс состоявшегося государства".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необходимо: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разъяснять молодежи, что от вклада каждого зависит судьба страны - своей прилежной учебой, ответственной работой, активной общественной позицией и делами молодежь вносит свой вклад в реализацию стратегических целей, стоящих перед страной;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позиционировать молодежь как движущую силу нового курса страны, носителя прогрессивных мировоззренческих установок и поведения, меняющих облик страны и общества.</w:t>
      </w:r>
    </w:p>
    <w:bookmarkEnd w:id="232"/>
    <w:bookmarkStart w:name="z2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Инструменты реализации Концепции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Концепции будут реализованы посредством совершенствования законодательных актов, государственных и отраслевых программ, стратегических планов государственных организаций.</w:t>
      </w:r>
    </w:p>
    <w:bookmarkEnd w:id="234"/>
    <w:bookmarkStart w:name="z24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ПЕРЕЧЕНЬ НОРМАТИВНЫХ ПРАВОВЫХ АКТОВ, ПОСРЕДСТВОМ</w:t>
      </w:r>
      <w:r>
        <w:br/>
      </w:r>
      <w:r>
        <w:rPr>
          <w:rFonts w:ascii="Times New Roman"/>
          <w:b/>
          <w:i w:val="false"/>
          <w:color w:val="000000"/>
        </w:rPr>
        <w:t>КОТОРЫХ ПРЕДПОЛАГАЕТСЯ РЕАЛИЗАЦИЯ КОНЦЕПЦИИ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МОЛОДЕЖНОЙ ПОЛИТИКИ РЕСПУБЛИКИ КАЗХАСТАН ДО 2020 ГОДА</w:t>
      </w:r>
      <w:r>
        <w:br/>
      </w:r>
      <w:r>
        <w:rPr>
          <w:rFonts w:ascii="Times New Roman"/>
          <w:b/>
          <w:i w:val="false"/>
          <w:color w:val="000000"/>
        </w:rPr>
        <w:t>"КАЗАХСТАН 2020: ПУТЬ В БУДУЩЕЕ"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с изменениями, внесенными постановлениями Правительства РК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Положения настоящей Концепции будут исполнены посредством реализации следующих нормативных правовых актов и правовых актов: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Конституция Республики Казахстан;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 Республики Казахстан "О государственной молодежной политике в Республике Казахстан" и другие законодательные акты;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Стратегия "Казахстан 2050: новый политический курс состоявшегося государства";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Стратегический план развития Республики Казахстан до 2020 года;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программа развития образования Республики Казахстан на 2011 – 2020 годы;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программа развития здравоохранения Республики Казахстан "Саламатты Қазақстан" на 2011 – 2015 годы;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17.06.2014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Программа "Дорожная карта бизнеса 2020";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Программа "Развитие регионов";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Программа "Доступное жилье – 2020";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Стратегия "Жастар - Отанға!" Молодежного крыла "Жас Отан" Народно-демократической партии "Нур Отан" до 2020 года;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стратегические планы центральных и местных исполнительных органов.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требует от всех участников процесса социального становления молодежи, разработки и последовательной реализации подходов, ориентированных на прямое вовлечение молодых людей в решение собственных проблем и общенациональных задач.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государственной молодежной политики такого масштаба могут быть решены только посредством применения проектного подхода, нацеленного на успешную социализацию молодежи, достижение приоритетов развития государственности. Все это, в конечном итоге, сформирует устойчивые условия для самоорганизации молодежи и всего населения, развития инициатив, отвечающих масштабам задач, стоящих перед Казахстаном - роста благосостояния граждан и совершенствования общественных отношений.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отметил Глава государства Н.А Назарбаев в своем труде "Казахстанский путь", который стал настольной книгой нашего поколения: "Успех будет сопутствовать молодым, если они выберут гуманизм, знание, ответственность, справедливость и не будут эгоистичны".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Казахстана есть прекрасное будущее, и оно в настоящем - в НАШЕЙ МОЛОДЕЖИ.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